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EE846" w14:textId="77777777" w:rsidR="00977E2A" w:rsidRPr="007223C1" w:rsidRDefault="00977E2A" w:rsidP="007223C1">
      <w:pPr>
        <w:spacing w:line="360" w:lineRule="auto"/>
        <w:jc w:val="right"/>
        <w:rPr>
          <w:rFonts w:ascii="Verdana" w:hAnsi="Verdana"/>
          <w:b/>
          <w:bCs/>
          <w:sz w:val="20"/>
          <w:szCs w:val="20"/>
        </w:rPr>
      </w:pPr>
      <w:bookmarkStart w:id="0" w:name="_gjdgxs"/>
      <w:bookmarkEnd w:id="0"/>
      <w:r w:rsidRPr="007223C1">
        <w:rPr>
          <w:rFonts w:ascii="Verdana" w:hAnsi="Verdana"/>
          <w:b/>
          <w:bCs/>
          <w:sz w:val="20"/>
          <w:szCs w:val="20"/>
        </w:rPr>
        <w:t xml:space="preserve">Rev </w:t>
      </w:r>
      <w:proofErr w:type="spellStart"/>
      <w:r w:rsidRPr="007223C1">
        <w:rPr>
          <w:rFonts w:ascii="Verdana" w:hAnsi="Verdana"/>
          <w:b/>
          <w:bCs/>
          <w:sz w:val="20"/>
          <w:szCs w:val="20"/>
        </w:rPr>
        <w:t>Cubana</w:t>
      </w:r>
      <w:proofErr w:type="spellEnd"/>
      <w:r w:rsidRPr="007223C1">
        <w:rPr>
          <w:rFonts w:ascii="Verdana" w:hAnsi="Verdana"/>
          <w:b/>
          <w:bCs/>
          <w:sz w:val="20"/>
          <w:szCs w:val="20"/>
        </w:rPr>
        <w:t xml:space="preserve"> de </w:t>
      </w:r>
      <w:proofErr w:type="spellStart"/>
      <w:r w:rsidRPr="007223C1">
        <w:rPr>
          <w:rFonts w:ascii="Verdana" w:hAnsi="Verdana"/>
          <w:b/>
          <w:bCs/>
          <w:sz w:val="20"/>
          <w:szCs w:val="20"/>
        </w:rPr>
        <w:t>Investigaciones</w:t>
      </w:r>
      <w:proofErr w:type="spellEnd"/>
      <w:r w:rsidRPr="007223C1">
        <w:rPr>
          <w:rFonts w:ascii="Verdana" w:hAnsi="Verdana"/>
          <w:b/>
          <w:bCs/>
          <w:sz w:val="20"/>
          <w:szCs w:val="20"/>
        </w:rPr>
        <w:t xml:space="preserve"> </w:t>
      </w:r>
      <w:proofErr w:type="spellStart"/>
      <w:r w:rsidRPr="007223C1">
        <w:rPr>
          <w:rFonts w:ascii="Verdana" w:hAnsi="Verdana"/>
          <w:b/>
          <w:bCs/>
          <w:sz w:val="20"/>
          <w:szCs w:val="20"/>
        </w:rPr>
        <w:t>Biomédicas</w:t>
      </w:r>
      <w:proofErr w:type="spellEnd"/>
      <w:r w:rsidRPr="007223C1">
        <w:rPr>
          <w:rFonts w:ascii="Verdana" w:hAnsi="Verdana"/>
          <w:b/>
          <w:bCs/>
          <w:sz w:val="20"/>
          <w:szCs w:val="20"/>
        </w:rPr>
        <w:t>. 2018</w:t>
      </w:r>
      <w:proofErr w:type="gramStart"/>
      <w:r w:rsidRPr="007223C1">
        <w:rPr>
          <w:rFonts w:ascii="Verdana" w:hAnsi="Verdana"/>
          <w:b/>
          <w:bCs/>
          <w:sz w:val="20"/>
          <w:szCs w:val="20"/>
        </w:rPr>
        <w:t>;37</w:t>
      </w:r>
      <w:proofErr w:type="gramEnd"/>
      <w:r w:rsidRPr="007223C1">
        <w:rPr>
          <w:rFonts w:ascii="Verdana" w:hAnsi="Verdana"/>
          <w:b/>
          <w:bCs/>
          <w:sz w:val="20"/>
          <w:szCs w:val="20"/>
        </w:rPr>
        <w:t>(3)</w:t>
      </w:r>
    </w:p>
    <w:p w14:paraId="3921C003" w14:textId="77777777" w:rsidR="00977E2A" w:rsidRPr="007223C1" w:rsidRDefault="00977E2A" w:rsidP="007223C1">
      <w:pPr>
        <w:spacing w:line="360" w:lineRule="auto"/>
        <w:jc w:val="right"/>
        <w:rPr>
          <w:rFonts w:ascii="Verdana" w:hAnsi="Verdana"/>
          <w:b/>
          <w:sz w:val="20"/>
          <w:szCs w:val="20"/>
        </w:rPr>
      </w:pPr>
      <w:r w:rsidRPr="007223C1">
        <w:rPr>
          <w:rFonts w:ascii="Verdana" w:hAnsi="Verdana"/>
          <w:b/>
          <w:sz w:val="20"/>
          <w:szCs w:val="20"/>
        </w:rPr>
        <w:t>ARTÍCULO ORIGINAL</w:t>
      </w:r>
    </w:p>
    <w:p w14:paraId="0BB83901" w14:textId="77777777" w:rsidR="00977E2A" w:rsidRPr="007223C1" w:rsidRDefault="00977E2A" w:rsidP="007223C1">
      <w:pPr>
        <w:spacing w:line="360" w:lineRule="auto"/>
        <w:jc w:val="center"/>
        <w:rPr>
          <w:rFonts w:ascii="Verdana" w:hAnsi="Verdana" w:cs="Arial"/>
          <w:b/>
          <w:sz w:val="20"/>
          <w:szCs w:val="20"/>
          <w:lang w:val="es-CO"/>
        </w:rPr>
      </w:pPr>
    </w:p>
    <w:p w14:paraId="139C81B8" w14:textId="77777777" w:rsidR="00977E2A" w:rsidRPr="007223C1" w:rsidRDefault="00977E2A" w:rsidP="007223C1">
      <w:pPr>
        <w:spacing w:line="360" w:lineRule="auto"/>
        <w:jc w:val="center"/>
        <w:rPr>
          <w:rFonts w:ascii="Verdana" w:hAnsi="Verdana" w:cs="Arial"/>
          <w:b/>
          <w:sz w:val="20"/>
          <w:szCs w:val="20"/>
          <w:lang w:val="es-CO"/>
        </w:rPr>
      </w:pPr>
    </w:p>
    <w:p w14:paraId="617FEEE0" w14:textId="11303727" w:rsidR="00F713C8" w:rsidRPr="007223C1" w:rsidRDefault="00F713C8" w:rsidP="007223C1">
      <w:pPr>
        <w:spacing w:line="360" w:lineRule="auto"/>
        <w:rPr>
          <w:rFonts w:ascii="Verdana" w:hAnsi="Verdana"/>
          <w:b/>
          <w:sz w:val="20"/>
          <w:szCs w:val="20"/>
          <w:lang w:val="es-CO"/>
        </w:rPr>
      </w:pPr>
    </w:p>
    <w:p w14:paraId="42D433CE" w14:textId="3C788307" w:rsidR="00011243" w:rsidRPr="007223C1" w:rsidRDefault="00133EAA" w:rsidP="00133EAA">
      <w:pPr>
        <w:spacing w:line="360" w:lineRule="auto"/>
        <w:rPr>
          <w:rFonts w:ascii="Verdana" w:hAnsi="Verdana"/>
          <w:b/>
          <w:sz w:val="20"/>
          <w:szCs w:val="20"/>
          <w:lang w:val="es-CO"/>
        </w:rPr>
      </w:pPr>
      <w:r w:rsidRPr="007223C1">
        <w:rPr>
          <w:rFonts w:ascii="Verdana" w:hAnsi="Verdana"/>
          <w:b/>
          <w:sz w:val="20"/>
          <w:szCs w:val="20"/>
          <w:lang w:val="es-CO"/>
        </w:rPr>
        <w:t xml:space="preserve">Condición física </w:t>
      </w:r>
      <w:r w:rsidRPr="007223C1">
        <w:rPr>
          <w:rFonts w:ascii="Verdana" w:hAnsi="Verdana"/>
          <w:b/>
          <w:color w:val="auto"/>
          <w:sz w:val="20"/>
          <w:szCs w:val="20"/>
          <w:lang w:val="es-CO"/>
        </w:rPr>
        <w:t xml:space="preserve">funcional </w:t>
      </w:r>
      <w:r w:rsidRPr="007223C1">
        <w:rPr>
          <w:rFonts w:ascii="Verdana" w:hAnsi="Verdana"/>
          <w:b/>
          <w:sz w:val="20"/>
          <w:szCs w:val="20"/>
          <w:lang w:val="es-CO"/>
        </w:rPr>
        <w:t>y riesgo de caídas en adultos mayores</w:t>
      </w:r>
    </w:p>
    <w:p w14:paraId="2CBC4BA4" w14:textId="77777777" w:rsidR="00133EAA" w:rsidRDefault="00133EAA" w:rsidP="00133EAA">
      <w:pPr>
        <w:spacing w:line="360" w:lineRule="auto"/>
        <w:rPr>
          <w:rFonts w:ascii="Verdana" w:hAnsi="Verdana"/>
          <w:b/>
          <w:sz w:val="20"/>
          <w:szCs w:val="20"/>
        </w:rPr>
      </w:pPr>
    </w:p>
    <w:p w14:paraId="781CC97C" w14:textId="76476A0C" w:rsidR="008B576C" w:rsidRPr="007223C1" w:rsidRDefault="00133EAA" w:rsidP="00133EAA">
      <w:pPr>
        <w:spacing w:line="360" w:lineRule="auto"/>
        <w:rPr>
          <w:rFonts w:ascii="Verdana" w:hAnsi="Verdana"/>
          <w:b/>
          <w:sz w:val="20"/>
          <w:szCs w:val="20"/>
        </w:rPr>
      </w:pPr>
      <w:r w:rsidRPr="007223C1">
        <w:rPr>
          <w:rFonts w:ascii="Verdana" w:hAnsi="Verdana"/>
          <w:b/>
          <w:sz w:val="20"/>
          <w:szCs w:val="20"/>
        </w:rPr>
        <w:t>Functional physical condition and risk of falls in older adults</w:t>
      </w:r>
    </w:p>
    <w:p w14:paraId="1C673EED" w14:textId="77777777" w:rsidR="00216281" w:rsidRPr="007223C1" w:rsidRDefault="00216281" w:rsidP="007223C1">
      <w:pPr>
        <w:spacing w:line="360" w:lineRule="auto"/>
        <w:jc w:val="both"/>
        <w:rPr>
          <w:rFonts w:ascii="Verdana" w:hAnsi="Verdana"/>
          <w:b/>
          <w:sz w:val="20"/>
          <w:szCs w:val="20"/>
        </w:rPr>
      </w:pPr>
    </w:p>
    <w:p w14:paraId="5E38278E" w14:textId="36948656" w:rsidR="00216281" w:rsidRDefault="00216281" w:rsidP="007223C1">
      <w:pPr>
        <w:spacing w:line="360" w:lineRule="auto"/>
        <w:jc w:val="both"/>
        <w:rPr>
          <w:rFonts w:ascii="Verdana" w:hAnsi="Verdana"/>
          <w:b/>
          <w:sz w:val="20"/>
          <w:szCs w:val="20"/>
          <w:lang w:val="es-CO"/>
        </w:rPr>
      </w:pPr>
    </w:p>
    <w:p w14:paraId="462E43DB" w14:textId="1C95D4BD" w:rsidR="00133EAA" w:rsidRDefault="00133EAA" w:rsidP="00133EAA">
      <w:pPr>
        <w:spacing w:line="360" w:lineRule="auto"/>
        <w:jc w:val="both"/>
      </w:pPr>
      <w:r w:rsidRPr="007223C1">
        <w:rPr>
          <w:rFonts w:ascii="Verdana" w:hAnsi="Verdana"/>
          <w:b/>
          <w:sz w:val="20"/>
          <w:szCs w:val="20"/>
          <w:lang w:val="es-CO"/>
        </w:rPr>
        <w:t xml:space="preserve">Martin Gilberto Riaño </w:t>
      </w:r>
      <w:proofErr w:type="spellStart"/>
      <w:r w:rsidRPr="007223C1">
        <w:rPr>
          <w:rFonts w:ascii="Verdana" w:hAnsi="Verdana"/>
          <w:b/>
          <w:sz w:val="20"/>
          <w:szCs w:val="20"/>
          <w:lang w:val="es-CO"/>
        </w:rPr>
        <w:t>Castañeda</w:t>
      </w:r>
      <w:proofErr w:type="gramStart"/>
      <w:r>
        <w:rPr>
          <w:rFonts w:ascii="Verdana" w:hAnsi="Verdana"/>
          <w:b/>
          <w:sz w:val="20"/>
          <w:szCs w:val="20"/>
          <w:lang w:val="es-CO"/>
        </w:rPr>
        <w:t>,</w:t>
      </w:r>
      <w:r w:rsidR="00F23000" w:rsidRPr="00F23000">
        <w:rPr>
          <w:rFonts w:ascii="Verdana" w:hAnsi="Verdana"/>
          <w:b/>
          <w:sz w:val="20"/>
          <w:szCs w:val="20"/>
          <w:vertAlign w:val="superscript"/>
          <w:lang w:val="es-CO"/>
        </w:rPr>
        <w:t>I</w:t>
      </w:r>
      <w:proofErr w:type="spellEnd"/>
      <w:proofErr w:type="gramEnd"/>
      <w:r>
        <w:rPr>
          <w:rFonts w:ascii="Verdana" w:hAnsi="Verdana"/>
          <w:b/>
          <w:sz w:val="20"/>
          <w:szCs w:val="20"/>
          <w:lang w:val="es-CO"/>
        </w:rPr>
        <w:t xml:space="preserve"> </w:t>
      </w:r>
      <w:r w:rsidRPr="007223C1">
        <w:rPr>
          <w:rFonts w:ascii="Verdana" w:hAnsi="Verdana"/>
          <w:b/>
          <w:sz w:val="20"/>
          <w:szCs w:val="20"/>
          <w:lang w:val="es-CO"/>
        </w:rPr>
        <w:t xml:space="preserve">Jefferson Moreno </w:t>
      </w:r>
      <w:proofErr w:type="spellStart"/>
      <w:r w:rsidRPr="007223C1">
        <w:rPr>
          <w:rFonts w:ascii="Verdana" w:hAnsi="Verdana"/>
          <w:b/>
          <w:sz w:val="20"/>
          <w:szCs w:val="20"/>
          <w:lang w:val="es-CO"/>
        </w:rPr>
        <w:t>Gómez</w:t>
      </w:r>
      <w:r>
        <w:rPr>
          <w:rFonts w:ascii="Verdana" w:hAnsi="Verdana"/>
          <w:b/>
          <w:sz w:val="20"/>
          <w:szCs w:val="20"/>
          <w:lang w:val="es-CO"/>
        </w:rPr>
        <w:t>,</w:t>
      </w:r>
      <w:r w:rsidR="00F23000" w:rsidRPr="00F23000">
        <w:rPr>
          <w:rFonts w:ascii="Verdana" w:hAnsi="Verdana"/>
          <w:b/>
          <w:sz w:val="20"/>
          <w:szCs w:val="20"/>
          <w:vertAlign w:val="superscript"/>
          <w:lang w:val="es-CO"/>
        </w:rPr>
        <w:t>I</w:t>
      </w:r>
      <w:proofErr w:type="spellEnd"/>
      <w:r>
        <w:rPr>
          <w:rFonts w:ascii="Verdana" w:hAnsi="Verdana"/>
          <w:b/>
          <w:sz w:val="20"/>
          <w:szCs w:val="20"/>
          <w:lang w:val="es-CO"/>
        </w:rPr>
        <w:t xml:space="preserve"> </w:t>
      </w:r>
      <w:r w:rsidRPr="007223C1">
        <w:rPr>
          <w:rFonts w:ascii="Verdana" w:hAnsi="Verdana"/>
          <w:b/>
          <w:sz w:val="20"/>
          <w:szCs w:val="20"/>
          <w:lang w:val="es-CO"/>
        </w:rPr>
        <w:t xml:space="preserve">Luz Stella Echeverría </w:t>
      </w:r>
      <w:proofErr w:type="spellStart"/>
      <w:r w:rsidRPr="007223C1">
        <w:rPr>
          <w:rFonts w:ascii="Verdana" w:hAnsi="Verdana"/>
          <w:b/>
          <w:sz w:val="20"/>
          <w:szCs w:val="20"/>
          <w:lang w:val="es-CO"/>
        </w:rPr>
        <w:t>Avellaneda</w:t>
      </w:r>
      <w:r>
        <w:rPr>
          <w:rFonts w:ascii="Verdana" w:hAnsi="Verdana"/>
          <w:b/>
          <w:sz w:val="20"/>
          <w:szCs w:val="20"/>
          <w:lang w:val="es-CO"/>
        </w:rPr>
        <w:t>,</w:t>
      </w:r>
      <w:r w:rsidR="00F23000" w:rsidRPr="00F23000">
        <w:rPr>
          <w:rFonts w:ascii="Verdana" w:hAnsi="Verdana"/>
          <w:b/>
          <w:sz w:val="20"/>
          <w:szCs w:val="20"/>
          <w:vertAlign w:val="superscript"/>
          <w:lang w:val="es-CO"/>
        </w:rPr>
        <w:t>II</w:t>
      </w:r>
      <w:proofErr w:type="spellEnd"/>
      <w:r>
        <w:rPr>
          <w:rFonts w:ascii="Verdana" w:hAnsi="Verdana"/>
          <w:b/>
          <w:sz w:val="20"/>
          <w:szCs w:val="20"/>
          <w:lang w:val="es-CO"/>
        </w:rPr>
        <w:t xml:space="preserve"> </w:t>
      </w:r>
      <w:r w:rsidRPr="007223C1">
        <w:rPr>
          <w:rFonts w:ascii="Verdana" w:hAnsi="Verdana"/>
          <w:b/>
          <w:sz w:val="20"/>
          <w:szCs w:val="20"/>
          <w:lang w:val="es-CO"/>
        </w:rPr>
        <w:t xml:space="preserve">Luis Gabriel Rangel </w:t>
      </w:r>
      <w:proofErr w:type="spellStart"/>
      <w:r w:rsidRPr="007223C1">
        <w:rPr>
          <w:rFonts w:ascii="Verdana" w:hAnsi="Verdana"/>
          <w:b/>
          <w:sz w:val="20"/>
          <w:szCs w:val="20"/>
          <w:lang w:val="es-CO"/>
        </w:rPr>
        <w:t>Caballero</w:t>
      </w:r>
      <w:r>
        <w:rPr>
          <w:rFonts w:ascii="Verdana" w:hAnsi="Verdana"/>
          <w:b/>
          <w:sz w:val="20"/>
          <w:szCs w:val="20"/>
          <w:lang w:val="es-CO"/>
        </w:rPr>
        <w:t>,</w:t>
      </w:r>
      <w:r w:rsidR="00F23000" w:rsidRPr="00F23000">
        <w:rPr>
          <w:rFonts w:ascii="Verdana" w:hAnsi="Verdana"/>
          <w:b/>
          <w:sz w:val="20"/>
          <w:szCs w:val="20"/>
          <w:vertAlign w:val="superscript"/>
          <w:lang w:val="es-CO"/>
        </w:rPr>
        <w:t>I</w:t>
      </w:r>
      <w:proofErr w:type="spellEnd"/>
      <w:r>
        <w:rPr>
          <w:rFonts w:ascii="Verdana" w:hAnsi="Verdana"/>
          <w:b/>
          <w:sz w:val="20"/>
          <w:szCs w:val="20"/>
          <w:lang w:val="es-CO"/>
        </w:rPr>
        <w:t xml:space="preserve"> </w:t>
      </w:r>
      <w:r w:rsidRPr="007223C1">
        <w:rPr>
          <w:rFonts w:ascii="Verdana" w:hAnsi="Verdana"/>
          <w:b/>
          <w:sz w:val="20"/>
          <w:szCs w:val="20"/>
          <w:lang w:val="es-CO"/>
        </w:rPr>
        <w:t xml:space="preserve">Juan Carlos Sánchez </w:t>
      </w:r>
      <w:proofErr w:type="spellStart"/>
      <w:r w:rsidRPr="007223C1">
        <w:rPr>
          <w:rFonts w:ascii="Verdana" w:hAnsi="Verdana"/>
          <w:b/>
          <w:sz w:val="20"/>
          <w:szCs w:val="20"/>
          <w:lang w:val="es-CO"/>
        </w:rPr>
        <w:t>Delgado</w:t>
      </w:r>
      <w:r w:rsidR="00F23000" w:rsidRPr="00F23000">
        <w:rPr>
          <w:rFonts w:ascii="Verdana" w:hAnsi="Verdana"/>
          <w:b/>
          <w:sz w:val="20"/>
          <w:szCs w:val="20"/>
          <w:vertAlign w:val="superscript"/>
          <w:lang w:val="es-CO"/>
        </w:rPr>
        <w:t>I,II</w:t>
      </w:r>
      <w:proofErr w:type="spellEnd"/>
    </w:p>
    <w:p w14:paraId="7AF25F8A" w14:textId="7FE9DB23" w:rsidR="00133EAA" w:rsidRDefault="00133EAA" w:rsidP="007223C1">
      <w:pPr>
        <w:spacing w:line="360" w:lineRule="auto"/>
        <w:jc w:val="both"/>
        <w:rPr>
          <w:rFonts w:ascii="Verdana" w:hAnsi="Verdana"/>
          <w:b/>
          <w:sz w:val="20"/>
          <w:szCs w:val="20"/>
          <w:lang w:val="es-CO"/>
        </w:rPr>
      </w:pPr>
    </w:p>
    <w:p w14:paraId="4988DC3A" w14:textId="2275897E" w:rsidR="000D2A1E" w:rsidRDefault="000D2A1E" w:rsidP="007223C1">
      <w:pPr>
        <w:spacing w:line="360" w:lineRule="auto"/>
        <w:jc w:val="both"/>
        <w:rPr>
          <w:rFonts w:ascii="Verdana" w:hAnsi="Verdana"/>
          <w:b/>
          <w:sz w:val="20"/>
          <w:szCs w:val="20"/>
          <w:lang w:val="es-CO"/>
        </w:rPr>
      </w:pPr>
    </w:p>
    <w:p w14:paraId="35E683B3" w14:textId="7C5C74C6" w:rsidR="000D2A1E" w:rsidRPr="007223C1" w:rsidRDefault="002B11E1" w:rsidP="000D2A1E">
      <w:pPr>
        <w:spacing w:line="360" w:lineRule="auto"/>
        <w:jc w:val="both"/>
        <w:rPr>
          <w:rFonts w:ascii="Verdana" w:hAnsi="Verdana"/>
          <w:sz w:val="20"/>
          <w:szCs w:val="20"/>
          <w:lang w:val="es-CO"/>
        </w:rPr>
      </w:pPr>
      <w:r w:rsidRPr="002B11E1">
        <w:rPr>
          <w:rFonts w:ascii="Verdana" w:hAnsi="Verdana"/>
          <w:sz w:val="20"/>
          <w:szCs w:val="20"/>
          <w:vertAlign w:val="superscript"/>
          <w:lang w:val="es-CO"/>
        </w:rPr>
        <w:t>I</w:t>
      </w:r>
      <w:r>
        <w:rPr>
          <w:rFonts w:ascii="Verdana" w:hAnsi="Verdana"/>
          <w:sz w:val="20"/>
          <w:szCs w:val="20"/>
          <w:lang w:val="es-CO"/>
        </w:rPr>
        <w:t xml:space="preserve"> </w:t>
      </w:r>
      <w:r w:rsidRPr="007223C1">
        <w:rPr>
          <w:rFonts w:ascii="Verdana" w:hAnsi="Verdana"/>
          <w:sz w:val="20"/>
          <w:szCs w:val="20"/>
          <w:lang w:val="es-CO"/>
        </w:rPr>
        <w:t>Universidad Santo Tomas</w:t>
      </w:r>
      <w:r>
        <w:rPr>
          <w:rFonts w:ascii="Verdana" w:hAnsi="Verdana"/>
          <w:sz w:val="20"/>
          <w:szCs w:val="20"/>
          <w:lang w:val="es-CO"/>
        </w:rPr>
        <w:t xml:space="preserve">, División Ciencias de la Salud, Facultad Cultura Física, Deporte y Recreación, Grupo de Investigación Ser, Cultura y Movimiento. </w:t>
      </w:r>
      <w:r w:rsidRPr="007223C1">
        <w:rPr>
          <w:rFonts w:ascii="Verdana" w:hAnsi="Verdana"/>
          <w:sz w:val="20"/>
          <w:szCs w:val="20"/>
          <w:lang w:val="es-CO"/>
        </w:rPr>
        <w:t>Bucaramanga</w:t>
      </w:r>
      <w:r>
        <w:rPr>
          <w:rFonts w:ascii="Verdana" w:hAnsi="Verdana"/>
          <w:sz w:val="20"/>
          <w:szCs w:val="20"/>
          <w:lang w:val="es-CO"/>
        </w:rPr>
        <w:t xml:space="preserve">, </w:t>
      </w:r>
      <w:r w:rsidRPr="007223C1">
        <w:rPr>
          <w:rFonts w:ascii="Verdana" w:hAnsi="Verdana"/>
          <w:sz w:val="20"/>
          <w:szCs w:val="20"/>
          <w:lang w:val="es-CO"/>
        </w:rPr>
        <w:t>Colombia.</w:t>
      </w:r>
    </w:p>
    <w:p w14:paraId="12287A3F" w14:textId="4EC2DB02" w:rsidR="000D2A1E" w:rsidRDefault="002B11E1" w:rsidP="007223C1">
      <w:pPr>
        <w:spacing w:line="360" w:lineRule="auto"/>
        <w:jc w:val="both"/>
        <w:rPr>
          <w:rFonts w:ascii="Verdana" w:hAnsi="Verdana"/>
          <w:b/>
          <w:sz w:val="20"/>
          <w:szCs w:val="20"/>
          <w:lang w:val="es-CO"/>
        </w:rPr>
      </w:pPr>
      <w:r w:rsidRPr="002B11E1">
        <w:rPr>
          <w:rFonts w:ascii="Verdana" w:hAnsi="Verdana"/>
          <w:sz w:val="20"/>
          <w:szCs w:val="20"/>
          <w:vertAlign w:val="superscript"/>
          <w:lang w:val="es-CO"/>
        </w:rPr>
        <w:t xml:space="preserve">II </w:t>
      </w:r>
      <w:r w:rsidRPr="00325150">
        <w:rPr>
          <w:rFonts w:ascii="Verdana" w:hAnsi="Verdana"/>
          <w:sz w:val="20"/>
          <w:szCs w:val="20"/>
          <w:lang w:val="es-CO"/>
        </w:rPr>
        <w:t>Universidad de Santander, Facultad de Ciencias de la Salud, Grupo de Investigación Fisioterapia Integral</w:t>
      </w:r>
      <w:r>
        <w:rPr>
          <w:rFonts w:ascii="Verdana" w:hAnsi="Verdana"/>
          <w:sz w:val="20"/>
          <w:szCs w:val="20"/>
          <w:lang w:val="es-CO"/>
        </w:rPr>
        <w:t>.</w:t>
      </w:r>
      <w:r w:rsidRPr="00325150">
        <w:rPr>
          <w:rFonts w:ascii="Verdana" w:hAnsi="Verdana"/>
          <w:sz w:val="20"/>
          <w:szCs w:val="20"/>
          <w:lang w:val="es-CO"/>
        </w:rPr>
        <w:t xml:space="preserve"> Bucaramanga, Colombia.</w:t>
      </w:r>
    </w:p>
    <w:p w14:paraId="021063BF" w14:textId="3172FC7E" w:rsidR="00CA58F6" w:rsidRDefault="00CA58F6" w:rsidP="007223C1">
      <w:pPr>
        <w:spacing w:line="360" w:lineRule="auto"/>
        <w:jc w:val="both"/>
        <w:rPr>
          <w:rFonts w:ascii="Verdana" w:hAnsi="Verdana"/>
          <w:b/>
          <w:sz w:val="20"/>
          <w:szCs w:val="20"/>
          <w:lang w:val="es-CO"/>
        </w:rPr>
      </w:pPr>
    </w:p>
    <w:p w14:paraId="234D4B5C" w14:textId="77777777" w:rsidR="008C0C7C" w:rsidRDefault="008C0C7C" w:rsidP="007223C1">
      <w:pPr>
        <w:spacing w:line="360" w:lineRule="auto"/>
        <w:jc w:val="both"/>
        <w:rPr>
          <w:rFonts w:ascii="Verdana" w:hAnsi="Verdana"/>
          <w:b/>
          <w:sz w:val="20"/>
          <w:szCs w:val="20"/>
          <w:lang w:val="es-CO"/>
        </w:rPr>
      </w:pPr>
    </w:p>
    <w:p w14:paraId="114E5F57" w14:textId="228E7B16" w:rsidR="00011243" w:rsidRDefault="00624FB3" w:rsidP="007223C1">
      <w:pPr>
        <w:spacing w:line="360" w:lineRule="auto"/>
        <w:jc w:val="both"/>
        <w:rPr>
          <w:rFonts w:ascii="Verdana" w:hAnsi="Verdana"/>
          <w:b/>
          <w:sz w:val="20"/>
          <w:szCs w:val="20"/>
          <w:lang w:val="es-CO"/>
        </w:rPr>
      </w:pPr>
      <w:r w:rsidRPr="007223C1">
        <w:rPr>
          <w:rFonts w:ascii="Verdana" w:hAnsi="Verdana"/>
          <w:b/>
          <w:sz w:val="20"/>
          <w:szCs w:val="20"/>
          <w:lang w:val="es-CO"/>
        </w:rPr>
        <w:t>RESUMEN</w:t>
      </w:r>
    </w:p>
    <w:p w14:paraId="4F14D116" w14:textId="220A5C8F" w:rsidR="00CB574B" w:rsidRPr="007223C1" w:rsidRDefault="00CB574B" w:rsidP="007223C1">
      <w:pPr>
        <w:spacing w:line="360" w:lineRule="auto"/>
        <w:jc w:val="both"/>
        <w:rPr>
          <w:rFonts w:ascii="Verdana" w:hAnsi="Verdana"/>
          <w:sz w:val="20"/>
          <w:szCs w:val="20"/>
          <w:lang w:val="es-CO"/>
        </w:rPr>
      </w:pPr>
      <w:r>
        <w:rPr>
          <w:rFonts w:ascii="Verdana" w:hAnsi="Verdana"/>
          <w:b/>
          <w:sz w:val="20"/>
          <w:szCs w:val="20"/>
          <w:lang w:val="es-CO"/>
        </w:rPr>
        <w:t xml:space="preserve">Introducción: </w:t>
      </w:r>
      <w:r w:rsidR="008C0C7C">
        <w:rPr>
          <w:rFonts w:ascii="Verdana" w:hAnsi="Verdana"/>
          <w:sz w:val="20"/>
          <w:szCs w:val="20"/>
          <w:lang w:val="es-CO"/>
        </w:rPr>
        <w:t>Aproximadamente el 30</w:t>
      </w:r>
      <w:r w:rsidR="0001627A">
        <w:rPr>
          <w:rFonts w:ascii="Verdana" w:hAnsi="Verdana"/>
          <w:sz w:val="20"/>
          <w:szCs w:val="20"/>
          <w:lang w:val="es-CO"/>
        </w:rPr>
        <w:t xml:space="preserve"> </w:t>
      </w:r>
      <w:r w:rsidR="008C0C7C">
        <w:rPr>
          <w:rFonts w:ascii="Verdana" w:hAnsi="Verdana"/>
          <w:sz w:val="20"/>
          <w:szCs w:val="20"/>
          <w:lang w:val="es-CO"/>
        </w:rPr>
        <w:t>% de los sujetos mayores de 60 años</w:t>
      </w:r>
      <w:r w:rsidR="008C0C7C" w:rsidRPr="005E5AAB">
        <w:rPr>
          <w:rFonts w:ascii="Verdana" w:hAnsi="Verdana"/>
          <w:sz w:val="20"/>
          <w:szCs w:val="20"/>
          <w:lang w:val="es-CO"/>
        </w:rPr>
        <w:t xml:space="preserve"> </w:t>
      </w:r>
      <w:r w:rsidR="008C0C7C">
        <w:rPr>
          <w:rFonts w:ascii="Verdana" w:hAnsi="Verdana"/>
          <w:sz w:val="20"/>
          <w:szCs w:val="20"/>
          <w:lang w:val="es-CO"/>
        </w:rPr>
        <w:t xml:space="preserve">podrían experimentar </w:t>
      </w:r>
      <w:r w:rsidR="008C0C7C" w:rsidRPr="005E5AAB">
        <w:rPr>
          <w:rFonts w:ascii="Verdana" w:hAnsi="Verdana"/>
          <w:sz w:val="20"/>
          <w:szCs w:val="20"/>
          <w:lang w:val="es-CO"/>
        </w:rPr>
        <w:t>una caída durante su vida</w:t>
      </w:r>
      <w:r w:rsidR="008C0C7C" w:rsidRPr="007223C1">
        <w:rPr>
          <w:rFonts w:ascii="Verdana" w:hAnsi="Verdana"/>
          <w:sz w:val="20"/>
          <w:szCs w:val="20"/>
          <w:lang w:val="es-CO"/>
        </w:rPr>
        <w:t xml:space="preserve">, </w:t>
      </w:r>
      <w:r w:rsidR="008C0C7C">
        <w:rPr>
          <w:rFonts w:ascii="Verdana" w:hAnsi="Verdana"/>
          <w:sz w:val="20"/>
          <w:szCs w:val="20"/>
          <w:lang w:val="es-CO"/>
        </w:rPr>
        <w:t>evento que demanda</w:t>
      </w:r>
      <w:r w:rsidR="008C0C7C" w:rsidRPr="007223C1">
        <w:rPr>
          <w:rFonts w:ascii="Verdana" w:hAnsi="Verdana"/>
          <w:sz w:val="20"/>
          <w:szCs w:val="20"/>
          <w:lang w:val="es-CO"/>
        </w:rPr>
        <w:t xml:space="preserve"> </w:t>
      </w:r>
      <w:r w:rsidR="008C0C7C">
        <w:rPr>
          <w:rFonts w:ascii="Verdana" w:hAnsi="Verdana"/>
          <w:sz w:val="20"/>
          <w:szCs w:val="20"/>
          <w:lang w:val="es-CO"/>
        </w:rPr>
        <w:t xml:space="preserve">en la mayoría de los casos atención hospitalaria y que puede llevar a la muerte. </w:t>
      </w:r>
      <w:r w:rsidR="008C0C7C" w:rsidRPr="007223C1">
        <w:rPr>
          <w:rFonts w:ascii="Verdana" w:hAnsi="Verdana"/>
          <w:sz w:val="20"/>
          <w:szCs w:val="20"/>
          <w:lang w:val="es-CO"/>
        </w:rPr>
        <w:t xml:space="preserve">Las caídas son consideradas la segunda causa de muerte por lesiones accidentales </w:t>
      </w:r>
      <w:r w:rsidR="008C0C7C">
        <w:rPr>
          <w:rFonts w:ascii="Verdana" w:hAnsi="Verdana"/>
          <w:sz w:val="20"/>
          <w:szCs w:val="20"/>
          <w:lang w:val="es-CO"/>
        </w:rPr>
        <w:t xml:space="preserve">en la población adulta mayor y la disminución de la condición física en esta edad suele ser uno de sus factores desencadenantes. </w:t>
      </w:r>
      <w:r w:rsidR="008C0C7C" w:rsidRPr="007223C1">
        <w:rPr>
          <w:rFonts w:ascii="Verdana" w:hAnsi="Verdana"/>
          <w:sz w:val="20"/>
          <w:szCs w:val="20"/>
          <w:lang w:val="es-CO"/>
        </w:rPr>
        <w:t xml:space="preserve">Lo anterior muestra que la condición de salud </w:t>
      </w:r>
      <w:r w:rsidR="008C0C7C">
        <w:rPr>
          <w:rFonts w:ascii="Verdana" w:hAnsi="Verdana"/>
          <w:sz w:val="20"/>
          <w:szCs w:val="20"/>
          <w:lang w:val="es-CO"/>
        </w:rPr>
        <w:t>en esta población</w:t>
      </w:r>
      <w:r w:rsidR="008C0C7C" w:rsidRPr="007223C1">
        <w:rPr>
          <w:rFonts w:ascii="Verdana" w:hAnsi="Verdana"/>
          <w:sz w:val="20"/>
          <w:szCs w:val="20"/>
          <w:lang w:val="es-CO"/>
        </w:rPr>
        <w:t>, debe evaluarse de acuerdo al grado de mantenimi</w:t>
      </w:r>
      <w:r w:rsidR="008C0C7C">
        <w:rPr>
          <w:rFonts w:ascii="Verdana" w:hAnsi="Verdana"/>
          <w:sz w:val="20"/>
          <w:szCs w:val="20"/>
          <w:lang w:val="es-CO"/>
        </w:rPr>
        <w:t>ento de la capacidad funcional</w:t>
      </w:r>
      <w:r w:rsidR="008C0C7C" w:rsidRPr="007223C1">
        <w:rPr>
          <w:rFonts w:ascii="Verdana" w:hAnsi="Verdana"/>
          <w:sz w:val="20"/>
          <w:szCs w:val="20"/>
          <w:lang w:val="es-CO"/>
        </w:rPr>
        <w:t xml:space="preserve">, pues su alteración genera consecuencias sobre la familia, la </w:t>
      </w:r>
      <w:r w:rsidR="008C0C7C">
        <w:rPr>
          <w:rFonts w:ascii="Verdana" w:hAnsi="Verdana"/>
          <w:sz w:val="20"/>
          <w:szCs w:val="20"/>
          <w:lang w:val="es-CO"/>
        </w:rPr>
        <w:t>comunidad y el sistema de salud.</w:t>
      </w:r>
    </w:p>
    <w:p w14:paraId="468BA040" w14:textId="494E92DF" w:rsidR="00664E5D" w:rsidRDefault="00624FB3" w:rsidP="007223C1">
      <w:pPr>
        <w:spacing w:line="360" w:lineRule="auto"/>
        <w:jc w:val="both"/>
        <w:rPr>
          <w:rFonts w:ascii="Verdana" w:hAnsi="Verdana"/>
          <w:sz w:val="20"/>
          <w:szCs w:val="20"/>
          <w:lang w:val="es-CO"/>
        </w:rPr>
      </w:pPr>
      <w:r w:rsidRPr="007223C1">
        <w:rPr>
          <w:rFonts w:ascii="Verdana" w:hAnsi="Verdana"/>
          <w:b/>
          <w:bCs/>
          <w:sz w:val="20"/>
          <w:szCs w:val="20"/>
          <w:lang w:val="es-CO"/>
        </w:rPr>
        <w:t>Objetivo:</w:t>
      </w:r>
      <w:r w:rsidR="00E144C5">
        <w:rPr>
          <w:rFonts w:ascii="Verdana" w:hAnsi="Verdana"/>
          <w:sz w:val="20"/>
          <w:szCs w:val="20"/>
          <w:lang w:val="es-CO"/>
        </w:rPr>
        <w:t xml:space="preserve"> </w:t>
      </w:r>
      <w:r w:rsidRPr="007223C1">
        <w:rPr>
          <w:rFonts w:ascii="Verdana" w:hAnsi="Verdana"/>
          <w:sz w:val="20"/>
          <w:szCs w:val="20"/>
          <w:lang w:val="es-CO"/>
        </w:rPr>
        <w:t>Determinar la condición física y el riesgo de caídas en los adultos mayores pertenecientes al Instituto para el fomento del Deporte y Recreación de Barrancabermeja.</w:t>
      </w:r>
    </w:p>
    <w:p w14:paraId="2C94F2BD" w14:textId="55896A25" w:rsidR="00664E5D" w:rsidRDefault="00664E5D" w:rsidP="007223C1">
      <w:pPr>
        <w:spacing w:line="360" w:lineRule="auto"/>
        <w:jc w:val="both"/>
        <w:rPr>
          <w:rFonts w:ascii="Verdana" w:hAnsi="Verdana"/>
          <w:sz w:val="20"/>
          <w:szCs w:val="20"/>
          <w:lang w:val="es-CO"/>
        </w:rPr>
      </w:pPr>
      <w:r>
        <w:rPr>
          <w:rFonts w:ascii="Verdana" w:hAnsi="Verdana"/>
          <w:b/>
          <w:bCs/>
          <w:sz w:val="20"/>
          <w:szCs w:val="20"/>
          <w:lang w:val="es-CO"/>
        </w:rPr>
        <w:t xml:space="preserve">Métodos: </w:t>
      </w:r>
      <w:r w:rsidR="00617907">
        <w:rPr>
          <w:rFonts w:ascii="Verdana" w:hAnsi="Verdana"/>
          <w:sz w:val="20"/>
          <w:szCs w:val="20"/>
          <w:lang w:val="es-CO"/>
        </w:rPr>
        <w:t>E</w:t>
      </w:r>
      <w:r w:rsidR="00624FB3" w:rsidRPr="007223C1">
        <w:rPr>
          <w:rFonts w:ascii="Verdana" w:hAnsi="Verdana"/>
          <w:sz w:val="20"/>
          <w:szCs w:val="20"/>
          <w:lang w:val="es-CO"/>
        </w:rPr>
        <w:t xml:space="preserve">studio de corte transversal, realizado en 40 sujetos a quienes se les aplico la escala </w:t>
      </w:r>
      <w:proofErr w:type="spellStart"/>
      <w:r w:rsidR="00624FB3" w:rsidRPr="007223C1">
        <w:rPr>
          <w:rFonts w:ascii="Verdana" w:hAnsi="Verdana"/>
          <w:sz w:val="20"/>
          <w:szCs w:val="20"/>
          <w:lang w:val="es-CO"/>
        </w:rPr>
        <w:t>Tinetti</w:t>
      </w:r>
      <w:proofErr w:type="spellEnd"/>
      <w:r w:rsidR="00624FB3" w:rsidRPr="007223C1">
        <w:rPr>
          <w:rFonts w:ascii="Verdana" w:hAnsi="Verdana"/>
          <w:sz w:val="20"/>
          <w:szCs w:val="20"/>
          <w:lang w:val="es-CO"/>
        </w:rPr>
        <w:t xml:space="preserve"> para identificar riesgo de caídas y la batería </w:t>
      </w:r>
      <w:proofErr w:type="spellStart"/>
      <w:r w:rsidR="00624FB3" w:rsidRPr="007223C1">
        <w:rPr>
          <w:rFonts w:ascii="Verdana" w:hAnsi="Verdana"/>
          <w:sz w:val="20"/>
          <w:szCs w:val="20"/>
          <w:lang w:val="es-CO"/>
        </w:rPr>
        <w:t>Senior</w:t>
      </w:r>
      <w:proofErr w:type="spellEnd"/>
      <w:r w:rsidR="00624FB3" w:rsidRPr="007223C1">
        <w:rPr>
          <w:rFonts w:ascii="Verdana" w:hAnsi="Verdana"/>
          <w:sz w:val="20"/>
          <w:szCs w:val="20"/>
          <w:lang w:val="es-CO"/>
        </w:rPr>
        <w:t xml:space="preserve"> </w:t>
      </w:r>
      <w:proofErr w:type="spellStart"/>
      <w:r w:rsidR="00624FB3" w:rsidRPr="007223C1">
        <w:rPr>
          <w:rFonts w:ascii="Verdana" w:hAnsi="Verdana"/>
          <w:sz w:val="20"/>
          <w:szCs w:val="20"/>
          <w:lang w:val="es-CO"/>
        </w:rPr>
        <w:t>Fitness</w:t>
      </w:r>
      <w:proofErr w:type="spellEnd"/>
      <w:r w:rsidR="00624FB3" w:rsidRPr="007223C1">
        <w:rPr>
          <w:rFonts w:ascii="Verdana" w:hAnsi="Verdana"/>
          <w:sz w:val="20"/>
          <w:szCs w:val="20"/>
          <w:lang w:val="es-CO"/>
        </w:rPr>
        <w:t xml:space="preserve"> Test que determina </w:t>
      </w:r>
      <w:r w:rsidR="00624FB3" w:rsidRPr="007223C1">
        <w:rPr>
          <w:rFonts w:ascii="Verdana" w:hAnsi="Verdana"/>
          <w:color w:val="auto"/>
          <w:sz w:val="20"/>
          <w:szCs w:val="20"/>
          <w:lang w:val="es-CO"/>
        </w:rPr>
        <w:t>la</w:t>
      </w:r>
      <w:r w:rsidR="00624FB3" w:rsidRPr="007223C1">
        <w:rPr>
          <w:rFonts w:ascii="Verdana" w:hAnsi="Verdana"/>
          <w:sz w:val="20"/>
          <w:szCs w:val="20"/>
          <w:lang w:val="es-CO"/>
        </w:rPr>
        <w:t xml:space="preserve"> condición física funcional.</w:t>
      </w:r>
    </w:p>
    <w:p w14:paraId="7F46505B" w14:textId="2073BFBC" w:rsidR="00664E5D" w:rsidRDefault="00624FB3" w:rsidP="007223C1">
      <w:pPr>
        <w:spacing w:line="360" w:lineRule="auto"/>
        <w:jc w:val="both"/>
        <w:rPr>
          <w:rFonts w:ascii="Verdana" w:hAnsi="Verdana"/>
          <w:sz w:val="20"/>
          <w:szCs w:val="20"/>
          <w:lang w:val="es-CO"/>
        </w:rPr>
      </w:pPr>
      <w:r w:rsidRPr="007223C1">
        <w:rPr>
          <w:rFonts w:ascii="Verdana" w:hAnsi="Verdana"/>
          <w:b/>
          <w:sz w:val="20"/>
          <w:szCs w:val="20"/>
          <w:lang w:val="es-CO"/>
        </w:rPr>
        <w:t>Resultados:</w:t>
      </w:r>
      <w:r w:rsidR="00664E5D">
        <w:rPr>
          <w:rFonts w:ascii="Verdana" w:hAnsi="Verdana"/>
          <w:b/>
          <w:sz w:val="20"/>
          <w:szCs w:val="20"/>
          <w:lang w:val="es-CO"/>
        </w:rPr>
        <w:t xml:space="preserve"> </w:t>
      </w:r>
      <w:r w:rsidRPr="007223C1">
        <w:rPr>
          <w:rFonts w:ascii="Verdana" w:hAnsi="Verdana"/>
          <w:sz w:val="20"/>
          <w:szCs w:val="20"/>
          <w:lang w:val="es-CO"/>
        </w:rPr>
        <w:t xml:space="preserve">Todos los componentes de la condición física, excepto la flexibilidad, se </w:t>
      </w:r>
      <w:r w:rsidRPr="007223C1">
        <w:rPr>
          <w:rFonts w:ascii="Verdana" w:hAnsi="Verdana"/>
          <w:sz w:val="20"/>
          <w:szCs w:val="20"/>
          <w:lang w:val="es-CO"/>
        </w:rPr>
        <w:lastRenderedPageBreak/>
        <w:t>encontra</w:t>
      </w:r>
      <w:r w:rsidR="00617907">
        <w:rPr>
          <w:rFonts w:ascii="Verdana" w:hAnsi="Verdana"/>
          <w:sz w:val="20"/>
          <w:szCs w:val="20"/>
          <w:lang w:val="es-CO"/>
        </w:rPr>
        <w:t>ron</w:t>
      </w:r>
      <w:r w:rsidRPr="007223C1">
        <w:rPr>
          <w:rFonts w:ascii="Verdana" w:hAnsi="Verdana"/>
          <w:sz w:val="20"/>
          <w:szCs w:val="20"/>
          <w:lang w:val="es-CO"/>
        </w:rPr>
        <w:t xml:space="preserve"> por encima de la media según el rango de edad de la población. Además, se observó que el riesgo de caídas es inversamente proporcional al peso, al IMC, a la resistencia muscular y directamente proporcional a la agilidad p&lt;</w:t>
      </w:r>
      <w:r w:rsidR="00617907">
        <w:rPr>
          <w:rFonts w:ascii="Verdana" w:hAnsi="Verdana"/>
          <w:sz w:val="20"/>
          <w:szCs w:val="20"/>
          <w:lang w:val="es-CO"/>
        </w:rPr>
        <w:t xml:space="preserve"> </w:t>
      </w:r>
      <w:r w:rsidRPr="007223C1">
        <w:rPr>
          <w:rFonts w:ascii="Verdana" w:hAnsi="Verdana"/>
          <w:sz w:val="20"/>
          <w:szCs w:val="20"/>
          <w:lang w:val="es-CO"/>
        </w:rPr>
        <w:t>0,05.</w:t>
      </w:r>
    </w:p>
    <w:p w14:paraId="06AC3D63" w14:textId="4785B330" w:rsidR="00011243" w:rsidRPr="007223C1" w:rsidRDefault="00624FB3" w:rsidP="007223C1">
      <w:pPr>
        <w:spacing w:line="360" w:lineRule="auto"/>
        <w:jc w:val="both"/>
        <w:rPr>
          <w:rFonts w:ascii="Verdana" w:hAnsi="Verdana"/>
          <w:sz w:val="20"/>
          <w:szCs w:val="20"/>
          <w:lang w:val="es-CO"/>
        </w:rPr>
      </w:pPr>
      <w:r w:rsidRPr="007223C1">
        <w:rPr>
          <w:rFonts w:ascii="Verdana" w:hAnsi="Verdana"/>
          <w:b/>
          <w:sz w:val="20"/>
          <w:szCs w:val="20"/>
          <w:lang w:val="es-CO"/>
        </w:rPr>
        <w:t xml:space="preserve">Conclusiones: </w:t>
      </w:r>
      <w:r w:rsidRPr="007223C1">
        <w:rPr>
          <w:rFonts w:ascii="Verdana" w:hAnsi="Verdana"/>
          <w:sz w:val="20"/>
          <w:szCs w:val="20"/>
          <w:lang w:val="es-CO"/>
        </w:rPr>
        <w:t>El grupo poblacional evaluado muestra riesgo bajo de caídas, sin embargo, se sugiere controlar el peso corporal, promover el entrenamiento de fuerza y la potencia muscular, lo cual puede llevar a una disminución en la incidencia de caídas.</w:t>
      </w:r>
    </w:p>
    <w:p w14:paraId="6F5BB109" w14:textId="77777777" w:rsidR="00FC67D5" w:rsidRPr="007223C1" w:rsidRDefault="00FC67D5" w:rsidP="007223C1">
      <w:pPr>
        <w:spacing w:line="360" w:lineRule="auto"/>
        <w:jc w:val="both"/>
        <w:rPr>
          <w:rFonts w:ascii="Verdana" w:hAnsi="Verdana"/>
          <w:b/>
          <w:sz w:val="20"/>
          <w:szCs w:val="20"/>
          <w:lang w:val="es-CO"/>
        </w:rPr>
      </w:pPr>
    </w:p>
    <w:p w14:paraId="18BBBBF6" w14:textId="57E75AB0" w:rsidR="00011243" w:rsidRDefault="00624FB3" w:rsidP="007223C1">
      <w:pPr>
        <w:spacing w:line="360" w:lineRule="auto"/>
        <w:jc w:val="both"/>
        <w:rPr>
          <w:rFonts w:ascii="Verdana" w:hAnsi="Verdana"/>
          <w:sz w:val="20"/>
          <w:szCs w:val="20"/>
          <w:lang w:val="es-CO"/>
        </w:rPr>
      </w:pPr>
      <w:r w:rsidRPr="007223C1">
        <w:rPr>
          <w:rFonts w:ascii="Verdana" w:hAnsi="Verdana"/>
          <w:b/>
          <w:sz w:val="20"/>
          <w:szCs w:val="20"/>
          <w:lang w:val="es-CO"/>
        </w:rPr>
        <w:t xml:space="preserve">Palabras </w:t>
      </w:r>
      <w:r w:rsidR="00617907">
        <w:rPr>
          <w:rFonts w:ascii="Verdana" w:hAnsi="Verdana"/>
          <w:b/>
          <w:sz w:val="20"/>
          <w:szCs w:val="20"/>
          <w:lang w:val="es-CO"/>
        </w:rPr>
        <w:t>clave</w:t>
      </w:r>
      <w:r w:rsidRPr="007223C1">
        <w:rPr>
          <w:rFonts w:ascii="Verdana" w:hAnsi="Verdana"/>
          <w:b/>
          <w:sz w:val="20"/>
          <w:szCs w:val="20"/>
          <w:lang w:val="es-CO"/>
        </w:rPr>
        <w:t>:</w:t>
      </w:r>
      <w:r w:rsidRPr="007223C1">
        <w:rPr>
          <w:rFonts w:ascii="Verdana" w:hAnsi="Verdana"/>
          <w:sz w:val="20"/>
          <w:szCs w:val="20"/>
          <w:lang w:val="es-CO"/>
        </w:rPr>
        <w:t xml:space="preserve"> </w:t>
      </w:r>
      <w:r w:rsidR="0063268D">
        <w:rPr>
          <w:rFonts w:ascii="Verdana" w:hAnsi="Verdana"/>
          <w:sz w:val="20"/>
          <w:szCs w:val="20"/>
          <w:lang w:val="es-CO"/>
        </w:rPr>
        <w:t>a</w:t>
      </w:r>
      <w:r w:rsidRPr="007223C1">
        <w:rPr>
          <w:rFonts w:ascii="Verdana" w:hAnsi="Verdana"/>
          <w:sz w:val="20"/>
          <w:szCs w:val="20"/>
          <w:lang w:val="es-CO"/>
        </w:rPr>
        <w:t>ccidentes por caídas</w:t>
      </w:r>
      <w:r w:rsidR="0063268D">
        <w:rPr>
          <w:rFonts w:ascii="Verdana" w:hAnsi="Verdana"/>
          <w:sz w:val="20"/>
          <w:szCs w:val="20"/>
          <w:lang w:val="es-CO"/>
        </w:rPr>
        <w:t>;</w:t>
      </w:r>
      <w:r w:rsidRPr="007223C1">
        <w:rPr>
          <w:rFonts w:ascii="Verdana" w:hAnsi="Verdana"/>
          <w:sz w:val="20"/>
          <w:szCs w:val="20"/>
          <w:lang w:val="es-CO"/>
        </w:rPr>
        <w:t xml:space="preserve"> ancianos</w:t>
      </w:r>
      <w:r w:rsidR="0063268D">
        <w:rPr>
          <w:rFonts w:ascii="Verdana" w:hAnsi="Verdana"/>
          <w:sz w:val="20"/>
          <w:szCs w:val="20"/>
          <w:lang w:val="es-CO"/>
        </w:rPr>
        <w:t>;</w:t>
      </w:r>
      <w:r w:rsidRPr="007223C1">
        <w:rPr>
          <w:rFonts w:ascii="Verdana" w:hAnsi="Verdana"/>
          <w:sz w:val="20"/>
          <w:szCs w:val="20"/>
          <w:lang w:val="es-CO"/>
        </w:rPr>
        <w:t xml:space="preserve"> equilibrio postural</w:t>
      </w:r>
      <w:r w:rsidR="0063268D">
        <w:rPr>
          <w:rFonts w:ascii="Verdana" w:hAnsi="Verdana"/>
          <w:sz w:val="20"/>
          <w:szCs w:val="20"/>
          <w:lang w:val="es-CO"/>
        </w:rPr>
        <w:t>;</w:t>
      </w:r>
      <w:r w:rsidRPr="007223C1">
        <w:rPr>
          <w:rFonts w:ascii="Verdana" w:hAnsi="Verdana"/>
          <w:sz w:val="20"/>
          <w:szCs w:val="20"/>
          <w:lang w:val="es-CO"/>
        </w:rPr>
        <w:t xml:space="preserve"> marcha.</w:t>
      </w:r>
    </w:p>
    <w:p w14:paraId="618EF9DC" w14:textId="45146AA7" w:rsidR="00597D65" w:rsidRDefault="00597D65" w:rsidP="007223C1">
      <w:pPr>
        <w:spacing w:line="360" w:lineRule="auto"/>
        <w:jc w:val="both"/>
        <w:rPr>
          <w:rFonts w:ascii="Verdana" w:hAnsi="Verdana"/>
          <w:sz w:val="20"/>
          <w:szCs w:val="20"/>
          <w:lang w:val="es-CO"/>
        </w:rPr>
      </w:pPr>
    </w:p>
    <w:p w14:paraId="3B4C5A91" w14:textId="77777777" w:rsidR="00597D65" w:rsidRPr="007223C1" w:rsidRDefault="00597D65" w:rsidP="007223C1">
      <w:pPr>
        <w:spacing w:line="360" w:lineRule="auto"/>
        <w:jc w:val="both"/>
        <w:rPr>
          <w:rFonts w:ascii="Verdana" w:hAnsi="Verdana"/>
          <w:sz w:val="20"/>
          <w:szCs w:val="20"/>
          <w:lang w:val="es-CO"/>
        </w:rPr>
      </w:pPr>
    </w:p>
    <w:p w14:paraId="672958A3" w14:textId="589106C5" w:rsidR="00011243" w:rsidRPr="007223C1" w:rsidRDefault="002D47FC" w:rsidP="007223C1">
      <w:pPr>
        <w:spacing w:line="360" w:lineRule="auto"/>
        <w:jc w:val="both"/>
        <w:rPr>
          <w:rFonts w:ascii="Verdana" w:hAnsi="Verdana"/>
          <w:b/>
          <w:sz w:val="20"/>
          <w:szCs w:val="20"/>
        </w:rPr>
      </w:pPr>
      <w:r>
        <w:rPr>
          <w:rFonts w:ascii="Verdana" w:hAnsi="Verdana"/>
          <w:b/>
          <w:sz w:val="20"/>
          <w:szCs w:val="20"/>
        </w:rPr>
        <w:t>ABSTRACT</w:t>
      </w:r>
    </w:p>
    <w:p w14:paraId="4836842F" w14:textId="77777777" w:rsidR="0001627A" w:rsidRPr="009D2155" w:rsidRDefault="0001627A" w:rsidP="0001627A">
      <w:pPr>
        <w:pStyle w:val="xmsonormal"/>
        <w:shd w:val="clear" w:color="auto" w:fill="FFFFFF"/>
        <w:spacing w:before="0" w:beforeAutospacing="0" w:after="0" w:afterAutospacing="0" w:line="360" w:lineRule="auto"/>
        <w:jc w:val="both"/>
        <w:rPr>
          <w:rFonts w:ascii="Verdana" w:hAnsi="Verdana"/>
          <w:color w:val="000000"/>
          <w:sz w:val="20"/>
          <w:szCs w:val="20"/>
        </w:rPr>
      </w:pPr>
      <w:r w:rsidRPr="002A4F99">
        <w:rPr>
          <w:rFonts w:ascii="Verdana" w:hAnsi="Verdana"/>
          <w:b/>
          <w:color w:val="000000"/>
          <w:sz w:val="20"/>
          <w:szCs w:val="20"/>
        </w:rPr>
        <w:t xml:space="preserve">Introduction: </w:t>
      </w:r>
      <w:r w:rsidRPr="009D2155">
        <w:rPr>
          <w:rFonts w:ascii="Verdana" w:hAnsi="Verdana"/>
          <w:color w:val="000000"/>
          <w:sz w:val="20"/>
          <w:szCs w:val="20"/>
        </w:rPr>
        <w:t xml:space="preserve">Approximately 30% of subjects older than 60 years may experience a fall during their life, an event that in most cases demands hospital care and can lead to death. Falls </w:t>
      </w:r>
      <w:proofErr w:type="gramStart"/>
      <w:r w:rsidRPr="009D2155">
        <w:rPr>
          <w:rFonts w:ascii="Verdana" w:hAnsi="Verdana"/>
          <w:color w:val="000000"/>
          <w:sz w:val="20"/>
          <w:szCs w:val="20"/>
        </w:rPr>
        <w:t>are considered</w:t>
      </w:r>
      <w:proofErr w:type="gramEnd"/>
      <w:r w:rsidRPr="009D2155">
        <w:rPr>
          <w:rFonts w:ascii="Verdana" w:hAnsi="Verdana"/>
          <w:color w:val="000000"/>
          <w:sz w:val="20"/>
          <w:szCs w:val="20"/>
        </w:rPr>
        <w:t xml:space="preserve"> the second cause of death for accidental injuries in the elderly population and the decrease in physical condition in this age is usually one of its triggering factors. </w:t>
      </w:r>
      <w:r>
        <w:rPr>
          <w:rFonts w:ascii="Verdana" w:hAnsi="Verdana"/>
          <w:color w:val="000000"/>
          <w:sz w:val="20"/>
          <w:szCs w:val="20"/>
        </w:rPr>
        <w:t>Thus,</w:t>
      </w:r>
      <w:r w:rsidRPr="009D2155">
        <w:rPr>
          <w:rFonts w:ascii="Verdana" w:hAnsi="Verdana"/>
          <w:color w:val="000000"/>
          <w:sz w:val="20"/>
          <w:szCs w:val="20"/>
        </w:rPr>
        <w:t xml:space="preserve"> shows that the health c</w:t>
      </w:r>
      <w:r>
        <w:rPr>
          <w:rFonts w:ascii="Verdana" w:hAnsi="Verdana"/>
          <w:color w:val="000000"/>
          <w:sz w:val="20"/>
          <w:szCs w:val="20"/>
        </w:rPr>
        <w:t xml:space="preserve">ondition in this population </w:t>
      </w:r>
      <w:proofErr w:type="gramStart"/>
      <w:r>
        <w:rPr>
          <w:rFonts w:ascii="Verdana" w:hAnsi="Verdana"/>
          <w:color w:val="000000"/>
          <w:sz w:val="20"/>
          <w:szCs w:val="20"/>
        </w:rPr>
        <w:t>should</w:t>
      </w:r>
      <w:r w:rsidRPr="009D2155">
        <w:rPr>
          <w:rFonts w:ascii="Verdana" w:hAnsi="Verdana"/>
          <w:color w:val="000000"/>
          <w:sz w:val="20"/>
          <w:szCs w:val="20"/>
        </w:rPr>
        <w:t xml:space="preserve"> be evaluated</w:t>
      </w:r>
      <w:proofErr w:type="gramEnd"/>
      <w:r w:rsidRPr="009D2155">
        <w:rPr>
          <w:rFonts w:ascii="Verdana" w:hAnsi="Verdana"/>
          <w:color w:val="000000"/>
          <w:sz w:val="20"/>
          <w:szCs w:val="20"/>
        </w:rPr>
        <w:t xml:space="preserve"> accord</w:t>
      </w:r>
      <w:r>
        <w:rPr>
          <w:rFonts w:ascii="Verdana" w:hAnsi="Verdana"/>
          <w:color w:val="000000"/>
          <w:sz w:val="20"/>
          <w:szCs w:val="20"/>
        </w:rPr>
        <w:t>ing to the degree</w:t>
      </w:r>
      <w:r w:rsidRPr="009D2155">
        <w:rPr>
          <w:rFonts w:ascii="Verdana" w:hAnsi="Verdana"/>
          <w:color w:val="000000"/>
          <w:sz w:val="20"/>
          <w:szCs w:val="20"/>
        </w:rPr>
        <w:t xml:space="preserve"> of the functional capacity, since its alteration </w:t>
      </w:r>
      <w:r>
        <w:rPr>
          <w:rFonts w:ascii="Verdana" w:hAnsi="Verdana"/>
          <w:color w:val="000000"/>
          <w:sz w:val="20"/>
          <w:szCs w:val="20"/>
        </w:rPr>
        <w:t>might generate</w:t>
      </w:r>
      <w:r w:rsidRPr="009D2155">
        <w:rPr>
          <w:rFonts w:ascii="Verdana" w:hAnsi="Verdana"/>
          <w:color w:val="000000"/>
          <w:sz w:val="20"/>
          <w:szCs w:val="20"/>
        </w:rPr>
        <w:t xml:space="preserve"> consequences on the family, the community and the health system.</w:t>
      </w:r>
    </w:p>
    <w:p w14:paraId="6E79C92D" w14:textId="77777777" w:rsidR="0001627A" w:rsidRDefault="0001627A" w:rsidP="0001627A">
      <w:pPr>
        <w:spacing w:line="360" w:lineRule="auto"/>
        <w:jc w:val="both"/>
        <w:rPr>
          <w:rFonts w:ascii="Verdana" w:hAnsi="Verdana"/>
          <w:b/>
          <w:sz w:val="20"/>
          <w:szCs w:val="20"/>
        </w:rPr>
      </w:pPr>
      <w:r w:rsidRPr="002D2D21">
        <w:rPr>
          <w:rFonts w:ascii="Verdana" w:hAnsi="Verdana"/>
          <w:b/>
          <w:sz w:val="20"/>
          <w:szCs w:val="20"/>
        </w:rPr>
        <w:t xml:space="preserve">Objective: </w:t>
      </w:r>
      <w:r w:rsidRPr="002D2D21">
        <w:rPr>
          <w:rFonts w:ascii="Verdana" w:hAnsi="Verdana"/>
          <w:sz w:val="20"/>
          <w:szCs w:val="20"/>
        </w:rPr>
        <w:t>To determine the physical and risk of falls in older adults belonging to the Sports and Recreation Institute of Barrancabermeja (INDERBA).</w:t>
      </w:r>
      <w:r w:rsidRPr="002D2D21">
        <w:rPr>
          <w:rFonts w:ascii="Verdana" w:hAnsi="Verdana"/>
          <w:b/>
          <w:sz w:val="20"/>
          <w:szCs w:val="20"/>
        </w:rPr>
        <w:t xml:space="preserve"> </w:t>
      </w:r>
    </w:p>
    <w:p w14:paraId="5127B5D6" w14:textId="77777777" w:rsidR="0001627A" w:rsidRDefault="0001627A" w:rsidP="0001627A">
      <w:pPr>
        <w:spacing w:line="360" w:lineRule="auto"/>
        <w:jc w:val="both"/>
        <w:rPr>
          <w:rFonts w:ascii="Verdana" w:hAnsi="Verdana"/>
          <w:b/>
          <w:sz w:val="20"/>
          <w:szCs w:val="20"/>
        </w:rPr>
      </w:pPr>
      <w:r>
        <w:rPr>
          <w:rFonts w:ascii="Verdana" w:hAnsi="Verdana"/>
          <w:b/>
          <w:sz w:val="20"/>
          <w:szCs w:val="20"/>
        </w:rPr>
        <w:t>Methods</w:t>
      </w:r>
      <w:r w:rsidRPr="002D2D21">
        <w:rPr>
          <w:rFonts w:ascii="Verdana" w:hAnsi="Verdana"/>
          <w:b/>
          <w:sz w:val="20"/>
          <w:szCs w:val="20"/>
        </w:rPr>
        <w:t xml:space="preserve">: </w:t>
      </w:r>
      <w:r w:rsidRPr="002D2D21">
        <w:rPr>
          <w:rFonts w:ascii="Verdana" w:hAnsi="Verdana"/>
          <w:sz w:val="20"/>
          <w:szCs w:val="20"/>
        </w:rPr>
        <w:t xml:space="preserve">analytical cross-sectional study, carried out on 40 subjects to whom the </w:t>
      </w:r>
      <w:proofErr w:type="spellStart"/>
      <w:r w:rsidRPr="002D2D21">
        <w:rPr>
          <w:rFonts w:ascii="Verdana" w:hAnsi="Verdana"/>
          <w:sz w:val="20"/>
          <w:szCs w:val="20"/>
        </w:rPr>
        <w:t>Tinetti</w:t>
      </w:r>
      <w:proofErr w:type="spellEnd"/>
      <w:r w:rsidRPr="002D2D21">
        <w:rPr>
          <w:rFonts w:ascii="Verdana" w:hAnsi="Verdana"/>
          <w:sz w:val="20"/>
          <w:szCs w:val="20"/>
        </w:rPr>
        <w:t xml:space="preserve"> scale </w:t>
      </w:r>
      <w:proofErr w:type="gramStart"/>
      <w:r w:rsidRPr="002D2D21">
        <w:rPr>
          <w:rFonts w:ascii="Verdana" w:hAnsi="Verdana"/>
          <w:sz w:val="20"/>
          <w:szCs w:val="20"/>
        </w:rPr>
        <w:t>was applied</w:t>
      </w:r>
      <w:proofErr w:type="gramEnd"/>
      <w:r w:rsidRPr="002D2D21">
        <w:rPr>
          <w:rFonts w:ascii="Verdana" w:hAnsi="Verdana"/>
          <w:sz w:val="20"/>
          <w:szCs w:val="20"/>
        </w:rPr>
        <w:t xml:space="preserve"> to identify risk of falling and the Senior Fitness Test battery that determines functional physical fitness.</w:t>
      </w:r>
      <w:r w:rsidRPr="002D2D21">
        <w:rPr>
          <w:rFonts w:ascii="Verdana" w:hAnsi="Verdana"/>
          <w:b/>
          <w:sz w:val="20"/>
          <w:szCs w:val="20"/>
        </w:rPr>
        <w:t xml:space="preserve"> </w:t>
      </w:r>
    </w:p>
    <w:p w14:paraId="7B77C18F" w14:textId="77777777" w:rsidR="0001627A" w:rsidRDefault="0001627A" w:rsidP="0001627A">
      <w:pPr>
        <w:spacing w:line="360" w:lineRule="auto"/>
        <w:jc w:val="both"/>
        <w:rPr>
          <w:rFonts w:ascii="Verdana" w:hAnsi="Verdana"/>
          <w:b/>
          <w:sz w:val="20"/>
          <w:szCs w:val="20"/>
        </w:rPr>
      </w:pPr>
      <w:r w:rsidRPr="002D2D21">
        <w:rPr>
          <w:rFonts w:ascii="Verdana" w:hAnsi="Verdana"/>
          <w:b/>
          <w:sz w:val="20"/>
          <w:szCs w:val="20"/>
        </w:rPr>
        <w:t xml:space="preserve">Results: </w:t>
      </w:r>
      <w:r w:rsidRPr="002D2D21">
        <w:rPr>
          <w:rFonts w:ascii="Verdana" w:hAnsi="Verdana"/>
          <w:sz w:val="20"/>
          <w:szCs w:val="20"/>
        </w:rPr>
        <w:t>All the components of the physical fitness, except flexibility, were above the average according to the age range of the population. In addition, it was observed that the risk of falling is inversely proportional to weight, to BMI, to muscular resistance and directly proportional to agility p &lt;0.05.</w:t>
      </w:r>
      <w:r w:rsidRPr="002D2D21">
        <w:rPr>
          <w:rFonts w:ascii="Verdana" w:hAnsi="Verdana"/>
          <w:b/>
          <w:sz w:val="20"/>
          <w:szCs w:val="20"/>
        </w:rPr>
        <w:t xml:space="preserve"> </w:t>
      </w:r>
    </w:p>
    <w:p w14:paraId="3C497D97" w14:textId="77777777" w:rsidR="0001627A" w:rsidRDefault="0001627A" w:rsidP="0001627A">
      <w:pPr>
        <w:spacing w:line="360" w:lineRule="auto"/>
        <w:jc w:val="both"/>
        <w:rPr>
          <w:rFonts w:ascii="Verdana" w:hAnsi="Verdana"/>
          <w:sz w:val="20"/>
          <w:szCs w:val="20"/>
        </w:rPr>
      </w:pPr>
      <w:r w:rsidRPr="002D2D21">
        <w:rPr>
          <w:rFonts w:ascii="Verdana" w:hAnsi="Verdana"/>
          <w:b/>
          <w:sz w:val="20"/>
          <w:szCs w:val="20"/>
        </w:rPr>
        <w:t xml:space="preserve">Conclusions: </w:t>
      </w:r>
      <w:r w:rsidRPr="002D2D21">
        <w:rPr>
          <w:rFonts w:ascii="Verdana" w:hAnsi="Verdana"/>
          <w:sz w:val="20"/>
          <w:szCs w:val="20"/>
        </w:rPr>
        <w:t xml:space="preserve">The population group evaluated shows low risk of falling, however, it </w:t>
      </w:r>
      <w:proofErr w:type="gramStart"/>
      <w:r w:rsidRPr="002D2D21">
        <w:rPr>
          <w:rFonts w:ascii="Verdana" w:hAnsi="Verdana"/>
          <w:sz w:val="20"/>
          <w:szCs w:val="20"/>
        </w:rPr>
        <w:t>is suggested</w:t>
      </w:r>
      <w:proofErr w:type="gramEnd"/>
      <w:r w:rsidRPr="002D2D21">
        <w:rPr>
          <w:rFonts w:ascii="Verdana" w:hAnsi="Verdana"/>
          <w:sz w:val="20"/>
          <w:szCs w:val="20"/>
        </w:rPr>
        <w:t xml:space="preserve"> to control body weight, promote strength training and muscle power, which can lead to a decrease in the incidence of falling.</w:t>
      </w:r>
    </w:p>
    <w:p w14:paraId="6A63E065" w14:textId="77777777" w:rsidR="0001627A" w:rsidRDefault="0001627A" w:rsidP="0001627A">
      <w:pPr>
        <w:spacing w:line="360" w:lineRule="auto"/>
        <w:jc w:val="both"/>
        <w:rPr>
          <w:rFonts w:ascii="Verdana" w:hAnsi="Verdana"/>
          <w:sz w:val="20"/>
          <w:szCs w:val="20"/>
        </w:rPr>
      </w:pPr>
    </w:p>
    <w:p w14:paraId="14A47B07" w14:textId="782E85FD" w:rsidR="0001627A" w:rsidRPr="009D2155" w:rsidRDefault="0001627A" w:rsidP="0001627A">
      <w:pPr>
        <w:spacing w:line="360" w:lineRule="auto"/>
        <w:jc w:val="both"/>
        <w:rPr>
          <w:rFonts w:ascii="Verdana" w:hAnsi="Verdana"/>
          <w:b/>
          <w:sz w:val="20"/>
          <w:szCs w:val="20"/>
          <w:lang w:val="es-CO"/>
        </w:rPr>
      </w:pPr>
      <w:r w:rsidRPr="002A4F99">
        <w:rPr>
          <w:rFonts w:ascii="Verdana" w:hAnsi="Verdana"/>
          <w:b/>
          <w:sz w:val="20"/>
          <w:szCs w:val="20"/>
          <w:lang w:val="es-CO"/>
        </w:rPr>
        <w:t xml:space="preserve">Key </w:t>
      </w:r>
      <w:proofErr w:type="spellStart"/>
      <w:r w:rsidRPr="002A4F99">
        <w:rPr>
          <w:rFonts w:ascii="Verdana" w:hAnsi="Verdana"/>
          <w:b/>
          <w:sz w:val="20"/>
          <w:szCs w:val="20"/>
          <w:lang w:val="es-CO"/>
        </w:rPr>
        <w:t>words</w:t>
      </w:r>
      <w:proofErr w:type="spellEnd"/>
      <w:r w:rsidRPr="002A4F99">
        <w:rPr>
          <w:rFonts w:ascii="Verdana" w:hAnsi="Verdana"/>
          <w:b/>
          <w:sz w:val="20"/>
          <w:szCs w:val="20"/>
          <w:lang w:val="es-CO"/>
        </w:rPr>
        <w:t>:</w:t>
      </w:r>
      <w:r w:rsidRPr="009D2155">
        <w:rPr>
          <w:rFonts w:ascii="Verdana" w:hAnsi="Verdana"/>
          <w:sz w:val="20"/>
          <w:szCs w:val="20"/>
          <w:lang w:val="es-CO"/>
        </w:rPr>
        <w:t xml:space="preserve"> Accidental Falls</w:t>
      </w:r>
      <w:r w:rsidR="00DE07CE">
        <w:rPr>
          <w:rFonts w:ascii="Verdana" w:hAnsi="Verdana"/>
          <w:sz w:val="20"/>
          <w:szCs w:val="20"/>
          <w:lang w:val="es-CO"/>
        </w:rPr>
        <w:t>;</w:t>
      </w:r>
      <w:r w:rsidRPr="009D2155">
        <w:rPr>
          <w:rFonts w:ascii="Verdana" w:hAnsi="Verdana"/>
          <w:sz w:val="20"/>
          <w:szCs w:val="20"/>
          <w:lang w:val="es-CO"/>
        </w:rPr>
        <w:t xml:space="preserve"> </w:t>
      </w:r>
      <w:proofErr w:type="spellStart"/>
      <w:r w:rsidRPr="009D2155">
        <w:rPr>
          <w:rFonts w:ascii="Verdana" w:hAnsi="Verdana"/>
          <w:sz w:val="20"/>
          <w:szCs w:val="20"/>
          <w:lang w:val="es-CO"/>
        </w:rPr>
        <w:t>aged</w:t>
      </w:r>
      <w:proofErr w:type="spellEnd"/>
      <w:r w:rsidR="00DE07CE">
        <w:rPr>
          <w:rFonts w:ascii="Verdana" w:hAnsi="Verdana"/>
          <w:sz w:val="20"/>
          <w:szCs w:val="20"/>
          <w:lang w:val="es-CO"/>
        </w:rPr>
        <w:t xml:space="preserve">; </w:t>
      </w:r>
      <w:r w:rsidRPr="009D2155">
        <w:rPr>
          <w:rFonts w:ascii="Verdana" w:hAnsi="Verdana"/>
          <w:sz w:val="20"/>
          <w:szCs w:val="20"/>
          <w:lang w:val="es-CO"/>
        </w:rPr>
        <w:t>postural balance</w:t>
      </w:r>
      <w:r w:rsidR="00DE07CE">
        <w:rPr>
          <w:rFonts w:ascii="Verdana" w:hAnsi="Verdana"/>
          <w:sz w:val="20"/>
          <w:szCs w:val="20"/>
          <w:lang w:val="es-CO"/>
        </w:rPr>
        <w:t>;</w:t>
      </w:r>
      <w:r w:rsidRPr="009D2155">
        <w:rPr>
          <w:rFonts w:ascii="Verdana" w:hAnsi="Verdana"/>
          <w:sz w:val="20"/>
          <w:szCs w:val="20"/>
          <w:lang w:val="es-CO"/>
        </w:rPr>
        <w:t xml:space="preserve"> </w:t>
      </w:r>
      <w:proofErr w:type="spellStart"/>
      <w:r w:rsidRPr="009D2155">
        <w:rPr>
          <w:rFonts w:ascii="Verdana" w:hAnsi="Verdana"/>
          <w:sz w:val="20"/>
          <w:szCs w:val="20"/>
          <w:lang w:val="es-CO"/>
        </w:rPr>
        <w:t>gait</w:t>
      </w:r>
      <w:proofErr w:type="spellEnd"/>
      <w:r w:rsidRPr="009D2155">
        <w:rPr>
          <w:rFonts w:ascii="Verdana" w:hAnsi="Verdana"/>
          <w:sz w:val="20"/>
          <w:szCs w:val="20"/>
          <w:lang w:val="es-CO"/>
        </w:rPr>
        <w:t>.</w:t>
      </w:r>
    </w:p>
    <w:p w14:paraId="6A954297" w14:textId="77777777" w:rsidR="00EC5F4B" w:rsidRDefault="00EC5F4B" w:rsidP="007223C1">
      <w:pPr>
        <w:pStyle w:val="xmsonormal"/>
        <w:shd w:val="clear" w:color="auto" w:fill="FFFFFF"/>
        <w:spacing w:before="0" w:beforeAutospacing="0" w:after="0" w:afterAutospacing="0" w:line="360" w:lineRule="auto"/>
        <w:jc w:val="both"/>
        <w:rPr>
          <w:rFonts w:ascii="Verdana" w:hAnsi="Verdana"/>
          <w:b/>
          <w:color w:val="000000"/>
          <w:sz w:val="20"/>
          <w:szCs w:val="20"/>
        </w:rPr>
      </w:pPr>
    </w:p>
    <w:p w14:paraId="55D29FC3" w14:textId="7B287F42" w:rsidR="00380FBE" w:rsidRDefault="00380FBE" w:rsidP="007223C1">
      <w:pPr>
        <w:spacing w:line="360" w:lineRule="auto"/>
        <w:jc w:val="both"/>
        <w:rPr>
          <w:rFonts w:ascii="Verdana" w:hAnsi="Verdana"/>
          <w:b/>
          <w:sz w:val="20"/>
          <w:szCs w:val="20"/>
        </w:rPr>
      </w:pPr>
    </w:p>
    <w:p w14:paraId="5BA6F019" w14:textId="2E55E94B" w:rsidR="00EC5F4B" w:rsidRDefault="00EC5F4B" w:rsidP="007223C1">
      <w:pPr>
        <w:spacing w:line="360" w:lineRule="auto"/>
        <w:jc w:val="both"/>
        <w:rPr>
          <w:rFonts w:ascii="Verdana" w:hAnsi="Verdana"/>
          <w:b/>
          <w:sz w:val="20"/>
          <w:szCs w:val="20"/>
        </w:rPr>
      </w:pPr>
    </w:p>
    <w:p w14:paraId="30E39F8A" w14:textId="77777777" w:rsidR="00EC5F4B" w:rsidRPr="007223C1" w:rsidRDefault="00EC5F4B" w:rsidP="007223C1">
      <w:pPr>
        <w:spacing w:line="360" w:lineRule="auto"/>
        <w:jc w:val="both"/>
        <w:rPr>
          <w:rFonts w:ascii="Verdana" w:hAnsi="Verdana"/>
          <w:b/>
          <w:sz w:val="20"/>
          <w:szCs w:val="20"/>
        </w:rPr>
      </w:pPr>
    </w:p>
    <w:p w14:paraId="249AB3D4" w14:textId="2A309258" w:rsidR="00011243" w:rsidRPr="007223C1" w:rsidRDefault="00D4737E" w:rsidP="007223C1">
      <w:pPr>
        <w:spacing w:line="360" w:lineRule="auto"/>
        <w:jc w:val="both"/>
        <w:rPr>
          <w:rFonts w:ascii="Verdana" w:hAnsi="Verdana"/>
          <w:b/>
          <w:sz w:val="20"/>
          <w:szCs w:val="20"/>
          <w:lang w:val="es-CO"/>
        </w:rPr>
      </w:pPr>
      <w:r>
        <w:rPr>
          <w:rFonts w:ascii="Verdana" w:hAnsi="Verdana"/>
          <w:b/>
          <w:sz w:val="20"/>
          <w:szCs w:val="20"/>
          <w:lang w:val="es-CO"/>
        </w:rPr>
        <w:t>INTRODUCCIÓN</w:t>
      </w:r>
    </w:p>
    <w:p w14:paraId="0D70A0E5" w14:textId="76E6116B" w:rsidR="009D7201" w:rsidRPr="007223C1" w:rsidRDefault="009D7201" w:rsidP="007223C1">
      <w:pPr>
        <w:spacing w:line="360" w:lineRule="auto"/>
        <w:jc w:val="both"/>
        <w:rPr>
          <w:rFonts w:ascii="Verdana" w:hAnsi="Verdana"/>
          <w:color w:val="auto"/>
          <w:sz w:val="20"/>
          <w:szCs w:val="20"/>
          <w:shd w:val="clear" w:color="auto" w:fill="FFFFFF"/>
          <w:lang w:val="es-CO"/>
        </w:rPr>
      </w:pPr>
      <w:r w:rsidRPr="007223C1">
        <w:rPr>
          <w:rFonts w:ascii="Verdana" w:hAnsi="Verdana"/>
          <w:color w:val="auto"/>
          <w:sz w:val="20"/>
          <w:szCs w:val="20"/>
          <w:shd w:val="clear" w:color="auto" w:fill="FFFFFF"/>
          <w:lang w:val="es-CO"/>
        </w:rPr>
        <w:t>En Colombia el 6</w:t>
      </w:r>
      <w:r w:rsidR="004E2178">
        <w:rPr>
          <w:rFonts w:ascii="Verdana" w:hAnsi="Verdana"/>
          <w:color w:val="auto"/>
          <w:sz w:val="20"/>
          <w:szCs w:val="20"/>
          <w:shd w:val="clear" w:color="auto" w:fill="FFFFFF"/>
          <w:lang w:val="es-CO"/>
        </w:rPr>
        <w:t>,</w:t>
      </w:r>
      <w:r w:rsidRPr="007223C1">
        <w:rPr>
          <w:rFonts w:ascii="Verdana" w:hAnsi="Verdana"/>
          <w:color w:val="auto"/>
          <w:sz w:val="20"/>
          <w:szCs w:val="20"/>
          <w:shd w:val="clear" w:color="auto" w:fill="FFFFFF"/>
          <w:lang w:val="es-CO"/>
        </w:rPr>
        <w:t>3</w:t>
      </w:r>
      <w:r w:rsidR="004E2178">
        <w:rPr>
          <w:rFonts w:ascii="Verdana" w:hAnsi="Verdana"/>
          <w:color w:val="auto"/>
          <w:sz w:val="20"/>
          <w:szCs w:val="20"/>
          <w:shd w:val="clear" w:color="auto" w:fill="FFFFFF"/>
          <w:lang w:val="es-CO"/>
        </w:rPr>
        <w:t xml:space="preserve"> </w:t>
      </w:r>
      <w:r w:rsidRPr="007223C1">
        <w:rPr>
          <w:rFonts w:ascii="Verdana" w:hAnsi="Verdana"/>
          <w:color w:val="auto"/>
          <w:sz w:val="20"/>
          <w:szCs w:val="20"/>
          <w:shd w:val="clear" w:color="auto" w:fill="FFFFFF"/>
          <w:lang w:val="es-CO"/>
        </w:rPr>
        <w:t xml:space="preserve">% </w:t>
      </w:r>
      <w:r w:rsidR="003466D9" w:rsidRPr="007223C1">
        <w:rPr>
          <w:rFonts w:ascii="Verdana" w:hAnsi="Verdana"/>
          <w:color w:val="auto"/>
          <w:sz w:val="20"/>
          <w:szCs w:val="20"/>
          <w:shd w:val="clear" w:color="auto" w:fill="FFFFFF"/>
          <w:lang w:val="es-CO"/>
        </w:rPr>
        <w:t>de la población es adulta mayor</w:t>
      </w:r>
      <w:r w:rsidR="00AB2E20" w:rsidRPr="007223C1">
        <w:rPr>
          <w:rFonts w:ascii="Verdana" w:hAnsi="Verdana"/>
          <w:color w:val="auto"/>
          <w:sz w:val="20"/>
          <w:szCs w:val="20"/>
          <w:shd w:val="clear" w:color="auto" w:fill="FFFFFF"/>
          <w:lang w:val="es-CO"/>
        </w:rPr>
        <w:t>,</w:t>
      </w:r>
      <w:r w:rsidR="00F42BA2" w:rsidRPr="007223C1">
        <w:rPr>
          <w:rFonts w:ascii="Verdana" w:hAnsi="Verdana"/>
          <w:color w:val="auto"/>
          <w:sz w:val="20"/>
          <w:szCs w:val="20"/>
          <w:shd w:val="clear" w:color="auto" w:fill="FFFFFF"/>
          <w:lang w:val="es-CO"/>
        </w:rPr>
        <w:t xml:space="preserve"> e</w:t>
      </w:r>
      <w:r w:rsidR="003466D9" w:rsidRPr="007223C1">
        <w:rPr>
          <w:rFonts w:ascii="Verdana" w:hAnsi="Verdana"/>
          <w:color w:val="auto"/>
          <w:sz w:val="20"/>
          <w:szCs w:val="20"/>
          <w:shd w:val="clear" w:color="auto" w:fill="FFFFFF"/>
          <w:lang w:val="es-CO"/>
        </w:rPr>
        <w:t>l descenso de la mortalidad y la fecundidad ha incidido en el aumento del envejecimiento poblacional, lo cual puede aumentar los costos sanitarios, que pueden ser atenuados</w:t>
      </w:r>
      <w:r w:rsidR="00F42BA2" w:rsidRPr="007223C1">
        <w:rPr>
          <w:rFonts w:ascii="Verdana" w:hAnsi="Verdana"/>
          <w:color w:val="auto"/>
          <w:sz w:val="20"/>
          <w:szCs w:val="20"/>
          <w:shd w:val="clear" w:color="auto" w:fill="FFFFFF"/>
          <w:lang w:val="es-CO"/>
        </w:rPr>
        <w:t xml:space="preserve"> co</w:t>
      </w:r>
      <w:r w:rsidR="00377B17" w:rsidRPr="007223C1">
        <w:rPr>
          <w:rFonts w:ascii="Verdana" w:hAnsi="Verdana"/>
          <w:color w:val="auto"/>
          <w:sz w:val="20"/>
          <w:szCs w:val="20"/>
          <w:shd w:val="clear" w:color="auto" w:fill="FFFFFF"/>
          <w:lang w:val="es-CO"/>
        </w:rPr>
        <w:t>n estrategias que tengan por objetivo el mejoramiento de la capacidad física funcional</w:t>
      </w:r>
      <w:r w:rsidR="00CF4A6A" w:rsidRPr="007223C1">
        <w:rPr>
          <w:rFonts w:ascii="Verdana" w:hAnsi="Verdana"/>
          <w:color w:val="auto"/>
          <w:sz w:val="20"/>
          <w:szCs w:val="20"/>
          <w:shd w:val="clear" w:color="auto" w:fill="FFFFFF"/>
          <w:lang w:val="es-CO"/>
        </w:rPr>
        <w:t>, variable que está determinada principalmente por la edad</w:t>
      </w:r>
      <w:r w:rsidR="00DE25AF" w:rsidRPr="007223C1">
        <w:rPr>
          <w:rFonts w:ascii="Verdana" w:hAnsi="Verdana"/>
          <w:color w:val="auto"/>
          <w:sz w:val="20"/>
          <w:szCs w:val="20"/>
          <w:shd w:val="clear" w:color="auto" w:fill="FFFFFF"/>
          <w:lang w:val="es-CO"/>
        </w:rPr>
        <w:t xml:space="preserve"> y que se asocia de manera indirecta con la mortalidad</w:t>
      </w:r>
      <w:r w:rsidR="000118B9" w:rsidRPr="007223C1">
        <w:rPr>
          <w:rFonts w:ascii="Verdana" w:hAnsi="Verdana"/>
          <w:color w:val="auto"/>
          <w:sz w:val="20"/>
          <w:szCs w:val="20"/>
          <w:shd w:val="clear" w:color="auto" w:fill="FFFFFF"/>
          <w:lang w:val="es-CO"/>
        </w:rPr>
        <w:t xml:space="preserve"> y el riesgo de caídas</w:t>
      </w:r>
      <w:r w:rsidR="00AC7E6F">
        <w:rPr>
          <w:rFonts w:ascii="Verdana" w:hAnsi="Verdana"/>
          <w:color w:val="auto"/>
          <w:sz w:val="20"/>
          <w:szCs w:val="20"/>
          <w:shd w:val="clear" w:color="auto" w:fill="FFFFFF"/>
          <w:lang w:val="es-CO"/>
        </w:rPr>
        <w:t>.</w:t>
      </w:r>
      <w:r w:rsidR="00AC7E6F" w:rsidRPr="00AC7E6F">
        <w:rPr>
          <w:rFonts w:ascii="Verdana" w:hAnsi="Verdana"/>
          <w:color w:val="auto"/>
          <w:sz w:val="20"/>
          <w:szCs w:val="20"/>
          <w:shd w:val="clear" w:color="auto" w:fill="FFFFFF"/>
          <w:vertAlign w:val="superscript"/>
          <w:lang w:val="es-CO"/>
        </w:rPr>
        <w:t>1-3</w:t>
      </w:r>
    </w:p>
    <w:p w14:paraId="5C0CD17F" w14:textId="77777777" w:rsidR="000209B9" w:rsidRPr="007223C1" w:rsidRDefault="000209B9" w:rsidP="007223C1">
      <w:pPr>
        <w:spacing w:line="360" w:lineRule="auto"/>
        <w:jc w:val="both"/>
        <w:rPr>
          <w:rFonts w:ascii="Verdana" w:hAnsi="Verdana"/>
          <w:sz w:val="20"/>
          <w:szCs w:val="20"/>
          <w:lang w:val="es-CO"/>
        </w:rPr>
      </w:pPr>
    </w:p>
    <w:p w14:paraId="082B86FA" w14:textId="77777777" w:rsidR="009A5344" w:rsidRPr="007223C1" w:rsidRDefault="009A5344" w:rsidP="009A5344">
      <w:pPr>
        <w:spacing w:line="360" w:lineRule="auto"/>
        <w:jc w:val="both"/>
        <w:rPr>
          <w:rFonts w:ascii="Verdana" w:hAnsi="Verdana"/>
          <w:sz w:val="20"/>
          <w:szCs w:val="20"/>
          <w:lang w:val="es-CO"/>
        </w:rPr>
      </w:pPr>
      <w:r w:rsidRPr="007223C1">
        <w:rPr>
          <w:rFonts w:ascii="Verdana" w:hAnsi="Verdana"/>
          <w:sz w:val="20"/>
          <w:szCs w:val="20"/>
          <w:lang w:val="es-CO"/>
        </w:rPr>
        <w:t>Las caídas son consideradas la segunda causa de muerte por lesiones accidentales en la población adulta mayor, evidencia de ello, es que cada año se producen 646.000 caídas mortales en el mundo.</w:t>
      </w:r>
      <w:r w:rsidRPr="007223C1">
        <w:rPr>
          <w:rStyle w:val="Refdenotaalpie"/>
          <w:rFonts w:ascii="Verdana" w:hAnsi="Verdana"/>
          <w:color w:val="333333"/>
          <w:sz w:val="20"/>
          <w:szCs w:val="20"/>
          <w:shd w:val="clear" w:color="auto" w:fill="FFFFFF"/>
          <w:lang w:val="es-CO"/>
        </w:rPr>
        <w:t xml:space="preserve"> </w:t>
      </w:r>
      <w:r w:rsidRPr="007223C1">
        <w:rPr>
          <w:rFonts w:ascii="Verdana" w:hAnsi="Verdana"/>
          <w:sz w:val="20"/>
          <w:szCs w:val="20"/>
          <w:lang w:val="es-CO"/>
        </w:rPr>
        <w:t xml:space="preserve">En este mismo punto, es importante referir </w:t>
      </w:r>
      <w:r>
        <w:rPr>
          <w:rFonts w:ascii="Verdana" w:hAnsi="Verdana"/>
          <w:sz w:val="20"/>
          <w:szCs w:val="20"/>
          <w:lang w:val="es-CO"/>
        </w:rPr>
        <w:t xml:space="preserve">que </w:t>
      </w:r>
      <w:r w:rsidRPr="00E67E12">
        <w:rPr>
          <w:rFonts w:ascii="Verdana" w:hAnsi="Verdana"/>
          <w:sz w:val="20"/>
          <w:szCs w:val="20"/>
          <w:lang w:val="es-CO"/>
        </w:rPr>
        <w:t>al menos 30% de los sujetos mayores de 60 años han sufrido o corren el riesgo de vivenciar una caída durante su vida</w:t>
      </w:r>
      <w:r>
        <w:rPr>
          <w:rFonts w:ascii="Verdana" w:hAnsi="Verdana"/>
          <w:sz w:val="20"/>
          <w:szCs w:val="20"/>
          <w:lang w:val="es-CO"/>
        </w:rPr>
        <w:t>, lo cual demanda en la mayoría de los casos</w:t>
      </w:r>
      <w:r w:rsidRPr="007223C1">
        <w:rPr>
          <w:rFonts w:ascii="Verdana" w:hAnsi="Verdana"/>
          <w:sz w:val="20"/>
          <w:szCs w:val="20"/>
          <w:lang w:val="es-CO"/>
        </w:rPr>
        <w:t xml:space="preserve"> atención por heridas, escoriaciones, hematomas, o fracturas, que pueden llevar a hospitalización</w:t>
      </w:r>
      <w:r>
        <w:rPr>
          <w:rFonts w:ascii="Verdana" w:hAnsi="Verdana"/>
          <w:sz w:val="20"/>
          <w:szCs w:val="20"/>
          <w:lang w:val="es-CO"/>
        </w:rPr>
        <w:t>.</w:t>
      </w:r>
      <w:r w:rsidRPr="003656A8">
        <w:rPr>
          <w:rFonts w:ascii="Verdana" w:hAnsi="Verdana"/>
          <w:sz w:val="20"/>
          <w:szCs w:val="20"/>
          <w:vertAlign w:val="superscript"/>
          <w:lang w:val="es-CO"/>
        </w:rPr>
        <w:t>4-9</w:t>
      </w:r>
      <w:r w:rsidRPr="007223C1">
        <w:rPr>
          <w:rStyle w:val="Refdenotaalpie"/>
          <w:rFonts w:ascii="Verdana" w:hAnsi="Verdana"/>
          <w:color w:val="333333"/>
          <w:sz w:val="20"/>
          <w:szCs w:val="20"/>
          <w:shd w:val="clear" w:color="auto" w:fill="FFFFFF"/>
          <w:lang w:val="es-CO"/>
        </w:rPr>
        <w:t xml:space="preserve"> </w:t>
      </w:r>
      <w:r w:rsidRPr="007223C1">
        <w:rPr>
          <w:rFonts w:ascii="Verdana" w:hAnsi="Verdana"/>
          <w:sz w:val="20"/>
          <w:szCs w:val="20"/>
          <w:lang w:val="es-CO"/>
        </w:rPr>
        <w:t>Lo anterior muestra que la condición de salud del adulto mayor, debe evaluarse de acuerdo al grado de mantenimiento de la capacidad funcional, y la condición física, pues su alteración genera consecuencias sobre la familia, la comunidad y el sistema de salud</w:t>
      </w:r>
      <w:r>
        <w:rPr>
          <w:rFonts w:ascii="Verdana" w:hAnsi="Verdana"/>
          <w:sz w:val="20"/>
          <w:szCs w:val="20"/>
          <w:lang w:val="es-CO"/>
        </w:rPr>
        <w:t>.</w:t>
      </w:r>
      <w:r w:rsidRPr="007223C1">
        <w:rPr>
          <w:rFonts w:ascii="Verdana" w:hAnsi="Verdana"/>
          <w:sz w:val="20"/>
          <w:szCs w:val="20"/>
          <w:lang w:val="es-CO"/>
        </w:rPr>
        <w:t xml:space="preserve"> </w:t>
      </w:r>
      <w:r w:rsidRPr="00440465">
        <w:rPr>
          <w:rFonts w:ascii="Verdana" w:hAnsi="Verdana"/>
          <w:sz w:val="20"/>
          <w:szCs w:val="20"/>
          <w:vertAlign w:val="superscript"/>
          <w:lang w:val="es-CO"/>
        </w:rPr>
        <w:t>10-12</w:t>
      </w:r>
    </w:p>
    <w:p w14:paraId="3E4FBE2E" w14:textId="77777777" w:rsidR="00380FBE" w:rsidRPr="007223C1" w:rsidRDefault="00380FBE" w:rsidP="007223C1">
      <w:pPr>
        <w:widowControl/>
        <w:shd w:val="clear" w:color="auto" w:fill="FFFFFF"/>
        <w:spacing w:line="360" w:lineRule="auto"/>
        <w:jc w:val="both"/>
        <w:textAlignment w:val="baseline"/>
        <w:rPr>
          <w:rFonts w:ascii="Verdana" w:hAnsi="Verdana"/>
          <w:sz w:val="20"/>
          <w:szCs w:val="20"/>
          <w:lang w:val="es-CO"/>
        </w:rPr>
      </w:pPr>
    </w:p>
    <w:p w14:paraId="7F91C4CF" w14:textId="41BADE14" w:rsidR="00784A90" w:rsidRPr="007223C1" w:rsidRDefault="00624FB3" w:rsidP="007223C1">
      <w:pPr>
        <w:widowControl/>
        <w:shd w:val="clear" w:color="auto" w:fill="FFFFFF"/>
        <w:spacing w:line="360" w:lineRule="auto"/>
        <w:jc w:val="both"/>
        <w:textAlignment w:val="baseline"/>
        <w:rPr>
          <w:rFonts w:ascii="Verdana" w:hAnsi="Verdana"/>
          <w:sz w:val="20"/>
          <w:szCs w:val="20"/>
          <w:vertAlign w:val="superscript"/>
          <w:lang w:val="es-CO"/>
        </w:rPr>
      </w:pPr>
      <w:r w:rsidRPr="007223C1">
        <w:rPr>
          <w:rFonts w:ascii="Verdana" w:hAnsi="Verdana"/>
          <w:sz w:val="20"/>
          <w:szCs w:val="20"/>
          <w:lang w:val="es-CO"/>
        </w:rPr>
        <w:t xml:space="preserve">Por todo lo anterior, el propósito del estudio es determinar la condición física funcional a través de la batería del </w:t>
      </w:r>
      <w:proofErr w:type="spellStart"/>
      <w:r w:rsidRPr="007223C1">
        <w:rPr>
          <w:rFonts w:ascii="Verdana" w:hAnsi="Verdana"/>
          <w:sz w:val="20"/>
          <w:szCs w:val="20"/>
          <w:lang w:val="es-CO"/>
        </w:rPr>
        <w:t>Senior</w:t>
      </w:r>
      <w:proofErr w:type="spellEnd"/>
      <w:r w:rsidRPr="007223C1">
        <w:rPr>
          <w:rFonts w:ascii="Verdana" w:hAnsi="Verdana"/>
          <w:sz w:val="20"/>
          <w:szCs w:val="20"/>
          <w:lang w:val="es-CO"/>
        </w:rPr>
        <w:t xml:space="preserve"> </w:t>
      </w:r>
      <w:proofErr w:type="spellStart"/>
      <w:r w:rsidRPr="007223C1">
        <w:rPr>
          <w:rFonts w:ascii="Verdana" w:hAnsi="Verdana"/>
          <w:sz w:val="20"/>
          <w:szCs w:val="20"/>
          <w:lang w:val="es-CO"/>
        </w:rPr>
        <w:t>Fitness</w:t>
      </w:r>
      <w:proofErr w:type="spellEnd"/>
      <w:r w:rsidRPr="007223C1">
        <w:rPr>
          <w:rFonts w:ascii="Verdana" w:hAnsi="Verdana"/>
          <w:sz w:val="20"/>
          <w:szCs w:val="20"/>
          <w:lang w:val="es-CO"/>
        </w:rPr>
        <w:t xml:space="preserve"> Test, creada por </w:t>
      </w:r>
      <w:r w:rsidRPr="00440465">
        <w:rPr>
          <w:rFonts w:ascii="Verdana" w:hAnsi="Verdana"/>
          <w:i/>
          <w:sz w:val="20"/>
          <w:szCs w:val="20"/>
          <w:lang w:val="es-CO"/>
        </w:rPr>
        <w:t xml:space="preserve">Roberta </w:t>
      </w:r>
      <w:proofErr w:type="spellStart"/>
      <w:r w:rsidRPr="00440465">
        <w:rPr>
          <w:rFonts w:ascii="Verdana" w:hAnsi="Verdana"/>
          <w:i/>
          <w:sz w:val="20"/>
          <w:szCs w:val="20"/>
          <w:lang w:val="es-CO"/>
        </w:rPr>
        <w:t>Rikli</w:t>
      </w:r>
      <w:proofErr w:type="spellEnd"/>
      <w:r w:rsidRPr="00440465">
        <w:rPr>
          <w:rFonts w:ascii="Verdana" w:hAnsi="Verdana"/>
          <w:i/>
          <w:sz w:val="20"/>
          <w:szCs w:val="20"/>
          <w:lang w:val="es-CO"/>
        </w:rPr>
        <w:t xml:space="preserve"> y </w:t>
      </w:r>
      <w:proofErr w:type="spellStart"/>
      <w:r w:rsidRPr="00440465">
        <w:rPr>
          <w:rFonts w:ascii="Verdana" w:hAnsi="Verdana"/>
          <w:i/>
          <w:sz w:val="20"/>
          <w:szCs w:val="20"/>
          <w:lang w:val="es-CO"/>
        </w:rPr>
        <w:t>Jessie</w:t>
      </w:r>
      <w:proofErr w:type="spellEnd"/>
      <w:r w:rsidRPr="00440465">
        <w:rPr>
          <w:rFonts w:ascii="Verdana" w:hAnsi="Verdana"/>
          <w:i/>
          <w:sz w:val="20"/>
          <w:szCs w:val="20"/>
          <w:lang w:val="es-CO"/>
        </w:rPr>
        <w:t xml:space="preserve"> Jones</w:t>
      </w:r>
      <w:r w:rsidRPr="007223C1">
        <w:rPr>
          <w:rFonts w:ascii="Verdana" w:hAnsi="Verdana"/>
          <w:sz w:val="20"/>
          <w:szCs w:val="20"/>
          <w:lang w:val="es-CO"/>
        </w:rPr>
        <w:t>, la cual evalúa la condición física funcional de personas entre 60 y 94 años, midiendo parámetros físicos asociados a la movilidad funcional como la composición corporal, fuerza muscular, flexibilidad de extremidades superiores e inferiores, resistencia aeróbica,</w:t>
      </w:r>
      <w:r w:rsidR="001B5E0B" w:rsidRPr="007223C1">
        <w:rPr>
          <w:rFonts w:ascii="Verdana" w:hAnsi="Verdana"/>
          <w:sz w:val="20"/>
          <w:szCs w:val="20"/>
          <w:lang w:val="es-CO"/>
        </w:rPr>
        <w:t xml:space="preserve"> equilibrio dinámico y agilidad</w:t>
      </w:r>
      <w:r w:rsidR="00440465">
        <w:rPr>
          <w:rFonts w:ascii="Verdana" w:hAnsi="Verdana"/>
          <w:sz w:val="20"/>
          <w:szCs w:val="20"/>
          <w:lang w:val="es-CO"/>
        </w:rPr>
        <w:t>.</w:t>
      </w:r>
      <w:r w:rsidR="001B5E0B" w:rsidRPr="00440465">
        <w:rPr>
          <w:rFonts w:ascii="Verdana" w:hAnsi="Verdana"/>
          <w:sz w:val="20"/>
          <w:szCs w:val="20"/>
          <w:vertAlign w:val="superscript"/>
          <w:lang w:val="es-CO"/>
        </w:rPr>
        <w:t>13</w:t>
      </w:r>
      <w:r w:rsidR="009C618D">
        <w:rPr>
          <w:rFonts w:ascii="Verdana" w:hAnsi="Verdana"/>
          <w:sz w:val="20"/>
          <w:szCs w:val="20"/>
          <w:vertAlign w:val="superscript"/>
          <w:lang w:val="es-CO"/>
        </w:rPr>
        <w:t>,</w:t>
      </w:r>
      <w:r w:rsidR="001B5E0B" w:rsidRPr="00440465">
        <w:rPr>
          <w:rFonts w:ascii="Verdana" w:hAnsi="Verdana"/>
          <w:sz w:val="20"/>
          <w:szCs w:val="20"/>
          <w:vertAlign w:val="superscript"/>
          <w:lang w:val="es-CO"/>
        </w:rPr>
        <w:t>14</w:t>
      </w:r>
      <w:r w:rsidRPr="007223C1">
        <w:rPr>
          <w:rFonts w:ascii="Verdana" w:hAnsi="Verdana"/>
          <w:color w:val="333333"/>
          <w:sz w:val="20"/>
          <w:szCs w:val="20"/>
          <w:shd w:val="clear" w:color="auto" w:fill="FFFFFF"/>
          <w:lang w:val="es-CO"/>
        </w:rPr>
        <w:t xml:space="preserve"> </w:t>
      </w:r>
      <w:r w:rsidRPr="007223C1">
        <w:rPr>
          <w:rFonts w:ascii="Verdana" w:hAnsi="Verdana"/>
          <w:sz w:val="20"/>
          <w:szCs w:val="20"/>
          <w:lang w:val="es-CO"/>
        </w:rPr>
        <w:t xml:space="preserve">Adicionalmente, a través de la escala </w:t>
      </w:r>
      <w:proofErr w:type="spellStart"/>
      <w:r w:rsidRPr="007223C1">
        <w:rPr>
          <w:rFonts w:ascii="Verdana" w:hAnsi="Verdana"/>
          <w:sz w:val="20"/>
          <w:szCs w:val="20"/>
          <w:lang w:val="es-CO"/>
        </w:rPr>
        <w:t>Tinetti</w:t>
      </w:r>
      <w:proofErr w:type="spellEnd"/>
      <w:r w:rsidRPr="007223C1">
        <w:rPr>
          <w:rFonts w:ascii="Verdana" w:hAnsi="Verdana"/>
          <w:sz w:val="20"/>
          <w:szCs w:val="20"/>
          <w:lang w:val="es-CO"/>
        </w:rPr>
        <w:t xml:space="preserve"> se detalló el riesgo de caídas de la población, midiendo la postura, velocidad, cambios de</w:t>
      </w:r>
      <w:r w:rsidR="00F4129F" w:rsidRPr="007223C1">
        <w:rPr>
          <w:rFonts w:ascii="Verdana" w:hAnsi="Verdana"/>
          <w:sz w:val="20"/>
          <w:szCs w:val="20"/>
          <w:lang w:val="es-CO"/>
        </w:rPr>
        <w:t xml:space="preserve"> posición, equilibrio y marcha</w:t>
      </w:r>
      <w:r w:rsidR="00DB4E9A">
        <w:rPr>
          <w:rFonts w:ascii="Verdana" w:hAnsi="Verdana"/>
          <w:sz w:val="20"/>
          <w:szCs w:val="20"/>
          <w:lang w:val="es-CO"/>
        </w:rPr>
        <w:t>.</w:t>
      </w:r>
      <w:r w:rsidR="00F4129F" w:rsidRPr="009F4478">
        <w:rPr>
          <w:rFonts w:ascii="Verdana" w:hAnsi="Verdana"/>
          <w:sz w:val="20"/>
          <w:szCs w:val="20"/>
          <w:vertAlign w:val="superscript"/>
          <w:lang w:val="es-CO"/>
        </w:rPr>
        <w:t>15</w:t>
      </w:r>
    </w:p>
    <w:p w14:paraId="07D660F6" w14:textId="77777777" w:rsidR="00784A90" w:rsidRPr="007223C1" w:rsidRDefault="00784A90" w:rsidP="007223C1">
      <w:pPr>
        <w:widowControl/>
        <w:shd w:val="clear" w:color="auto" w:fill="FFFFFF"/>
        <w:spacing w:line="360" w:lineRule="auto"/>
        <w:jc w:val="both"/>
        <w:textAlignment w:val="baseline"/>
        <w:rPr>
          <w:rFonts w:ascii="Verdana" w:hAnsi="Verdana"/>
          <w:sz w:val="20"/>
          <w:szCs w:val="20"/>
          <w:vertAlign w:val="superscript"/>
          <w:lang w:val="es-CO"/>
        </w:rPr>
      </w:pPr>
    </w:p>
    <w:p w14:paraId="36ACE574" w14:textId="1F530AE7" w:rsidR="00C20978" w:rsidRPr="007223C1" w:rsidRDefault="00D934CA" w:rsidP="007223C1">
      <w:pPr>
        <w:widowControl/>
        <w:shd w:val="clear" w:color="auto" w:fill="FFFFFF"/>
        <w:spacing w:line="360" w:lineRule="auto"/>
        <w:jc w:val="both"/>
        <w:textAlignment w:val="baseline"/>
        <w:rPr>
          <w:rFonts w:ascii="Verdana" w:hAnsi="Verdana"/>
          <w:color w:val="333333"/>
          <w:sz w:val="20"/>
          <w:szCs w:val="20"/>
          <w:shd w:val="clear" w:color="auto" w:fill="FFFFFF"/>
          <w:lang w:val="es-CO"/>
        </w:rPr>
      </w:pPr>
      <w:r w:rsidRPr="007223C1">
        <w:rPr>
          <w:rFonts w:ascii="Verdana" w:hAnsi="Verdana"/>
          <w:sz w:val="20"/>
          <w:szCs w:val="20"/>
          <w:lang w:val="es-CO"/>
        </w:rPr>
        <w:t>Teniendo en cuenta el incremento de la población adulta mayor y las consecuencias que lleva consigo la</w:t>
      </w:r>
      <w:r w:rsidR="00A605F7" w:rsidRPr="007223C1">
        <w:rPr>
          <w:rFonts w:ascii="Verdana" w:hAnsi="Verdana"/>
          <w:sz w:val="20"/>
          <w:szCs w:val="20"/>
          <w:lang w:val="es-CO"/>
        </w:rPr>
        <w:t>s caídas y la</w:t>
      </w:r>
      <w:r w:rsidRPr="007223C1">
        <w:rPr>
          <w:rFonts w:ascii="Verdana" w:hAnsi="Verdana"/>
          <w:sz w:val="20"/>
          <w:szCs w:val="20"/>
          <w:lang w:val="es-CO"/>
        </w:rPr>
        <w:t xml:space="preserve"> p</w:t>
      </w:r>
      <w:r w:rsidR="00F42704" w:rsidRPr="007223C1">
        <w:rPr>
          <w:rFonts w:ascii="Verdana" w:hAnsi="Verdana"/>
          <w:sz w:val="20"/>
          <w:szCs w:val="20"/>
          <w:lang w:val="es-CO"/>
        </w:rPr>
        <w:t>é</w:t>
      </w:r>
      <w:r w:rsidRPr="007223C1">
        <w:rPr>
          <w:rFonts w:ascii="Verdana" w:hAnsi="Verdana"/>
          <w:sz w:val="20"/>
          <w:szCs w:val="20"/>
          <w:lang w:val="es-CO"/>
        </w:rPr>
        <w:t>rdida de condici</w:t>
      </w:r>
      <w:r w:rsidR="00A605F7" w:rsidRPr="007223C1">
        <w:rPr>
          <w:rFonts w:ascii="Verdana" w:hAnsi="Verdana"/>
          <w:sz w:val="20"/>
          <w:szCs w:val="20"/>
          <w:lang w:val="es-CO"/>
        </w:rPr>
        <w:t>ón física a esta</w:t>
      </w:r>
      <w:r w:rsidR="002849E2" w:rsidRPr="007223C1">
        <w:rPr>
          <w:rFonts w:ascii="Verdana" w:hAnsi="Verdana"/>
          <w:sz w:val="20"/>
          <w:szCs w:val="20"/>
          <w:lang w:val="es-CO"/>
        </w:rPr>
        <w:t xml:space="preserve"> edad</w:t>
      </w:r>
      <w:r w:rsidRPr="007223C1">
        <w:rPr>
          <w:rFonts w:ascii="Verdana" w:hAnsi="Verdana"/>
          <w:sz w:val="20"/>
          <w:szCs w:val="20"/>
          <w:lang w:val="es-CO"/>
        </w:rPr>
        <w:t xml:space="preserve">, se pretende explorar la asociación entre </w:t>
      </w:r>
      <w:r w:rsidR="001813A1" w:rsidRPr="007223C1">
        <w:rPr>
          <w:rFonts w:ascii="Verdana" w:hAnsi="Verdana"/>
          <w:sz w:val="20"/>
          <w:szCs w:val="20"/>
          <w:lang w:val="es-CO"/>
        </w:rPr>
        <w:t>estas dos variables</w:t>
      </w:r>
      <w:r w:rsidRPr="007223C1">
        <w:rPr>
          <w:rFonts w:ascii="Verdana" w:hAnsi="Verdana"/>
          <w:sz w:val="20"/>
          <w:szCs w:val="20"/>
          <w:lang w:val="es-CO"/>
        </w:rPr>
        <w:t xml:space="preserve">, </w:t>
      </w:r>
      <w:r w:rsidR="00D35DC7" w:rsidRPr="007223C1">
        <w:rPr>
          <w:rFonts w:ascii="Verdana" w:hAnsi="Verdana"/>
          <w:sz w:val="20"/>
          <w:szCs w:val="20"/>
          <w:lang w:val="es-CO"/>
        </w:rPr>
        <w:t xml:space="preserve">lo cual </w:t>
      </w:r>
      <w:r w:rsidR="00C20978" w:rsidRPr="007223C1">
        <w:rPr>
          <w:rFonts w:ascii="Verdana" w:hAnsi="Verdana"/>
          <w:sz w:val="20"/>
          <w:szCs w:val="20"/>
          <w:lang w:val="es-CO"/>
        </w:rPr>
        <w:t>puede</w:t>
      </w:r>
      <w:r w:rsidRPr="007223C1">
        <w:rPr>
          <w:rFonts w:ascii="Verdana" w:hAnsi="Verdana"/>
          <w:sz w:val="20"/>
          <w:szCs w:val="20"/>
          <w:lang w:val="es-CO"/>
        </w:rPr>
        <w:t>n</w:t>
      </w:r>
      <w:r w:rsidR="00C20978" w:rsidRPr="007223C1">
        <w:rPr>
          <w:rFonts w:ascii="Verdana" w:hAnsi="Verdana"/>
          <w:sz w:val="20"/>
          <w:szCs w:val="20"/>
          <w:lang w:val="es-CO"/>
        </w:rPr>
        <w:t xml:space="preserve"> ayudar a plantear recomendaciones sobre las estrategias de ejercicio más importantes para la prevención de caídas en la población evaluada.</w:t>
      </w:r>
    </w:p>
    <w:p w14:paraId="6D72863F" w14:textId="77777777" w:rsidR="00380FBE" w:rsidRPr="007223C1" w:rsidRDefault="00380FBE" w:rsidP="007223C1">
      <w:pPr>
        <w:widowControl/>
        <w:shd w:val="clear" w:color="auto" w:fill="FFFFFF"/>
        <w:spacing w:line="360" w:lineRule="auto"/>
        <w:jc w:val="both"/>
        <w:textAlignment w:val="baseline"/>
        <w:rPr>
          <w:rFonts w:ascii="Verdana" w:hAnsi="Verdana"/>
          <w:b/>
          <w:sz w:val="20"/>
          <w:szCs w:val="20"/>
          <w:lang w:val="es-CO"/>
        </w:rPr>
      </w:pPr>
    </w:p>
    <w:p w14:paraId="427E6FA6" w14:textId="5573DA13" w:rsidR="00011243" w:rsidRPr="007223C1" w:rsidRDefault="009E213C" w:rsidP="007223C1">
      <w:pPr>
        <w:widowControl/>
        <w:shd w:val="clear" w:color="auto" w:fill="FFFFFF"/>
        <w:spacing w:line="360" w:lineRule="auto"/>
        <w:jc w:val="both"/>
        <w:textAlignment w:val="baseline"/>
        <w:rPr>
          <w:rFonts w:ascii="Verdana" w:hAnsi="Verdana"/>
          <w:b/>
          <w:sz w:val="20"/>
          <w:szCs w:val="20"/>
          <w:lang w:val="es-CO"/>
        </w:rPr>
      </w:pPr>
      <w:r>
        <w:rPr>
          <w:rFonts w:ascii="Verdana" w:hAnsi="Verdana"/>
          <w:b/>
          <w:sz w:val="20"/>
          <w:szCs w:val="20"/>
          <w:lang w:val="es-CO"/>
        </w:rPr>
        <w:t>MÉ</w:t>
      </w:r>
      <w:r w:rsidR="00624FB3" w:rsidRPr="007223C1">
        <w:rPr>
          <w:rFonts w:ascii="Verdana" w:hAnsi="Verdana"/>
          <w:b/>
          <w:sz w:val="20"/>
          <w:szCs w:val="20"/>
          <w:lang w:val="es-CO"/>
        </w:rPr>
        <w:t>TODOS</w:t>
      </w:r>
    </w:p>
    <w:p w14:paraId="4114710E" w14:textId="1A2EA935"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 xml:space="preserve">Estudio de corte transversal realizado en 40 adultos mayores pertenecientes al INDERBA, en edades entre los 60 a 91 años, que leyeron y firmaron el consentimiento informado. </w:t>
      </w:r>
      <w:r w:rsidR="00217519" w:rsidRPr="007223C1">
        <w:rPr>
          <w:rFonts w:ascii="Verdana" w:hAnsi="Verdana"/>
          <w:sz w:val="20"/>
          <w:szCs w:val="20"/>
          <w:lang w:val="es-CO"/>
        </w:rPr>
        <w:t xml:space="preserve">La </w:t>
      </w:r>
      <w:r w:rsidR="00217519" w:rsidRPr="007223C1">
        <w:rPr>
          <w:rFonts w:ascii="Verdana" w:hAnsi="Verdana"/>
          <w:sz w:val="20"/>
          <w:szCs w:val="20"/>
          <w:lang w:val="es-CO"/>
        </w:rPr>
        <w:lastRenderedPageBreak/>
        <w:t>muestra fue seleccionada a través de un muestreo no probabilístico, s</w:t>
      </w:r>
      <w:r w:rsidRPr="007223C1">
        <w:rPr>
          <w:rFonts w:ascii="Verdana" w:hAnsi="Verdana"/>
          <w:sz w:val="20"/>
          <w:szCs w:val="20"/>
          <w:lang w:val="es-CO"/>
        </w:rPr>
        <w:t>e excluyeron aquellos sujetos que presentaran contraindicaciones absolutas o relativas para realizar ejercicio físico o alguna discapacidad física o mental. Dentro de las variables evaluadas se encuentran género, edad, talla, peso, IMC, flexibilidad, fuerza muscular, agilidad o balance dinámico, capacidad cardiorrespiratoria y el riesgo de caídas.</w:t>
      </w:r>
    </w:p>
    <w:p w14:paraId="39AECB85" w14:textId="77777777" w:rsidR="00380FBE" w:rsidRPr="007223C1" w:rsidRDefault="00380FBE" w:rsidP="007223C1">
      <w:pPr>
        <w:spacing w:line="360" w:lineRule="auto"/>
        <w:jc w:val="both"/>
        <w:rPr>
          <w:rFonts w:ascii="Verdana" w:hAnsi="Verdana"/>
          <w:sz w:val="20"/>
          <w:szCs w:val="20"/>
          <w:lang w:val="es-CO"/>
        </w:rPr>
      </w:pPr>
    </w:p>
    <w:p w14:paraId="6D9AFDD3" w14:textId="1F6AB8E9" w:rsidR="00E85EDB" w:rsidRPr="007223C1" w:rsidRDefault="00BA4F24" w:rsidP="007223C1">
      <w:pPr>
        <w:spacing w:line="360" w:lineRule="auto"/>
        <w:jc w:val="both"/>
        <w:rPr>
          <w:rFonts w:ascii="Verdana" w:hAnsi="Verdana"/>
          <w:b/>
          <w:sz w:val="20"/>
          <w:szCs w:val="20"/>
          <w:lang w:val="es-CO"/>
        </w:rPr>
      </w:pPr>
      <w:r w:rsidRPr="007223C1">
        <w:rPr>
          <w:rFonts w:ascii="Verdana" w:hAnsi="Verdana"/>
          <w:sz w:val="20"/>
          <w:szCs w:val="20"/>
          <w:lang w:val="es-CO"/>
        </w:rPr>
        <w:t xml:space="preserve">Los componentes de capacidad física funcional, fueron evaluados a través de la batería </w:t>
      </w:r>
      <w:proofErr w:type="spellStart"/>
      <w:r w:rsidRPr="007223C1">
        <w:rPr>
          <w:rFonts w:ascii="Verdana" w:hAnsi="Verdana"/>
          <w:sz w:val="20"/>
          <w:szCs w:val="20"/>
          <w:lang w:val="es-CO"/>
        </w:rPr>
        <w:t>Senior</w:t>
      </w:r>
      <w:proofErr w:type="spellEnd"/>
      <w:r w:rsidRPr="007223C1">
        <w:rPr>
          <w:rFonts w:ascii="Verdana" w:hAnsi="Verdana"/>
          <w:sz w:val="20"/>
          <w:szCs w:val="20"/>
          <w:lang w:val="es-CO"/>
        </w:rPr>
        <w:t xml:space="preserve"> </w:t>
      </w:r>
      <w:proofErr w:type="spellStart"/>
      <w:r w:rsidRPr="007223C1">
        <w:rPr>
          <w:rFonts w:ascii="Verdana" w:hAnsi="Verdana"/>
          <w:sz w:val="20"/>
          <w:szCs w:val="20"/>
          <w:lang w:val="es-CO"/>
        </w:rPr>
        <w:t>Fitness</w:t>
      </w:r>
      <w:proofErr w:type="spellEnd"/>
      <w:r w:rsidRPr="007223C1">
        <w:rPr>
          <w:rFonts w:ascii="Verdana" w:hAnsi="Verdana"/>
          <w:sz w:val="20"/>
          <w:szCs w:val="20"/>
          <w:lang w:val="es-CO"/>
        </w:rPr>
        <w:t xml:space="preserve"> Test (SFT), </w:t>
      </w:r>
      <w:r w:rsidR="00F1636E" w:rsidRPr="007223C1">
        <w:rPr>
          <w:rFonts w:ascii="Verdana" w:hAnsi="Verdana"/>
          <w:sz w:val="20"/>
          <w:szCs w:val="20"/>
          <w:lang w:val="es-CO"/>
        </w:rPr>
        <w:t>que incluyó</w:t>
      </w:r>
      <w:r w:rsidRPr="007223C1">
        <w:rPr>
          <w:rFonts w:ascii="Verdana" w:hAnsi="Verdana"/>
          <w:sz w:val="20"/>
          <w:szCs w:val="20"/>
          <w:lang w:val="es-CO"/>
        </w:rPr>
        <w:t xml:space="preserve"> </w:t>
      </w:r>
      <w:r w:rsidR="004A6ECF" w:rsidRPr="007223C1">
        <w:rPr>
          <w:rFonts w:ascii="Verdana" w:hAnsi="Verdana"/>
          <w:sz w:val="20"/>
          <w:szCs w:val="20"/>
          <w:lang w:val="es-CO"/>
        </w:rPr>
        <w:t>la evaluación de la</w:t>
      </w:r>
      <w:r w:rsidR="00F1636E" w:rsidRPr="007223C1">
        <w:rPr>
          <w:rFonts w:ascii="Verdana" w:hAnsi="Verdana"/>
          <w:sz w:val="20"/>
          <w:szCs w:val="20"/>
          <w:lang w:val="es-CO"/>
        </w:rPr>
        <w:t xml:space="preserve"> fuerza de tren inferior, </w:t>
      </w:r>
      <w:r w:rsidR="004A6ECF" w:rsidRPr="007223C1">
        <w:rPr>
          <w:rFonts w:ascii="Verdana" w:hAnsi="Verdana"/>
          <w:sz w:val="20"/>
          <w:szCs w:val="20"/>
          <w:lang w:val="es-CO"/>
        </w:rPr>
        <w:t>d</w:t>
      </w:r>
      <w:r w:rsidR="00F1636E" w:rsidRPr="007223C1">
        <w:rPr>
          <w:rFonts w:ascii="Verdana" w:hAnsi="Verdana"/>
          <w:sz w:val="20"/>
          <w:szCs w:val="20"/>
          <w:lang w:val="es-CO"/>
        </w:rPr>
        <w:t>e miembros superiores</w:t>
      </w:r>
      <w:r w:rsidR="004A6ECF" w:rsidRPr="007223C1">
        <w:rPr>
          <w:rFonts w:ascii="Verdana" w:hAnsi="Verdana"/>
          <w:sz w:val="20"/>
          <w:szCs w:val="20"/>
          <w:lang w:val="es-CO"/>
        </w:rPr>
        <w:t>,</w:t>
      </w:r>
      <w:r w:rsidR="00D90CFF" w:rsidRPr="007223C1">
        <w:rPr>
          <w:rFonts w:ascii="Verdana" w:hAnsi="Verdana"/>
          <w:sz w:val="20"/>
          <w:szCs w:val="20"/>
          <w:lang w:val="es-CO"/>
        </w:rPr>
        <w:t xml:space="preserve"> capacidad cardiorrespiratoria evaluada a través del test de </w:t>
      </w:r>
      <w:r w:rsidRPr="007223C1">
        <w:rPr>
          <w:rFonts w:ascii="Verdana" w:hAnsi="Verdana"/>
          <w:sz w:val="20"/>
          <w:szCs w:val="20"/>
          <w:lang w:val="es-CO"/>
        </w:rPr>
        <w:t>dos m</w:t>
      </w:r>
      <w:r w:rsidR="00D90CFF" w:rsidRPr="007223C1">
        <w:rPr>
          <w:rFonts w:ascii="Verdana" w:hAnsi="Verdana"/>
          <w:sz w:val="20"/>
          <w:szCs w:val="20"/>
          <w:lang w:val="es-CO"/>
        </w:rPr>
        <w:t>inutos de marcha estacionaria, flexibilidad de tronco y miembros inferior</w:t>
      </w:r>
      <w:r w:rsidR="004A6ECF" w:rsidRPr="007223C1">
        <w:rPr>
          <w:rFonts w:ascii="Verdana" w:hAnsi="Verdana"/>
          <w:sz w:val="20"/>
          <w:szCs w:val="20"/>
          <w:lang w:val="es-CO"/>
        </w:rPr>
        <w:t xml:space="preserve">es, flexibilidad </w:t>
      </w:r>
      <w:r w:rsidR="00BF7EFE" w:rsidRPr="007223C1">
        <w:rPr>
          <w:rFonts w:ascii="Verdana" w:hAnsi="Verdana"/>
          <w:sz w:val="20"/>
          <w:szCs w:val="20"/>
          <w:lang w:val="es-CO"/>
        </w:rPr>
        <w:t>de tren superior</w:t>
      </w:r>
      <w:r w:rsidRPr="007223C1">
        <w:rPr>
          <w:rFonts w:ascii="Verdana" w:hAnsi="Verdana"/>
          <w:sz w:val="20"/>
          <w:szCs w:val="20"/>
          <w:lang w:val="es-CO"/>
        </w:rPr>
        <w:t xml:space="preserve"> y </w:t>
      </w:r>
      <w:r w:rsidR="004A6ECF" w:rsidRPr="007223C1">
        <w:rPr>
          <w:rFonts w:ascii="Verdana" w:hAnsi="Verdana"/>
          <w:sz w:val="20"/>
          <w:szCs w:val="20"/>
          <w:lang w:val="es-CO"/>
        </w:rPr>
        <w:t>agilidad</w:t>
      </w:r>
      <w:r w:rsidR="009F4478">
        <w:rPr>
          <w:rFonts w:ascii="Verdana" w:hAnsi="Verdana"/>
          <w:sz w:val="20"/>
          <w:szCs w:val="20"/>
          <w:lang w:val="es-CO"/>
        </w:rPr>
        <w:t>.</w:t>
      </w:r>
      <w:r w:rsidR="00457B15" w:rsidRPr="009F4478">
        <w:rPr>
          <w:rFonts w:ascii="Verdana" w:hAnsi="Verdana"/>
          <w:sz w:val="20"/>
          <w:szCs w:val="20"/>
          <w:vertAlign w:val="superscript"/>
          <w:lang w:val="es-CO"/>
        </w:rPr>
        <w:t>13</w:t>
      </w:r>
      <w:r w:rsidR="009F4478">
        <w:rPr>
          <w:rFonts w:ascii="Verdana" w:hAnsi="Verdana"/>
          <w:sz w:val="20"/>
          <w:szCs w:val="20"/>
          <w:lang w:val="es-CO"/>
        </w:rPr>
        <w:t xml:space="preserve"> </w:t>
      </w:r>
      <w:r w:rsidRPr="007223C1">
        <w:rPr>
          <w:rFonts w:ascii="Verdana" w:hAnsi="Verdana"/>
          <w:sz w:val="20"/>
          <w:szCs w:val="20"/>
          <w:lang w:val="es-CO"/>
        </w:rPr>
        <w:t xml:space="preserve">Se evaluó el riesgo de caídas mediante la escala de </w:t>
      </w:r>
      <w:proofErr w:type="spellStart"/>
      <w:r w:rsidRPr="007223C1">
        <w:rPr>
          <w:rFonts w:ascii="Verdana" w:hAnsi="Verdana"/>
          <w:sz w:val="20"/>
          <w:szCs w:val="20"/>
          <w:lang w:val="es-CO"/>
        </w:rPr>
        <w:t>Tinetti</w:t>
      </w:r>
      <w:proofErr w:type="spellEnd"/>
      <w:r w:rsidRPr="007223C1">
        <w:rPr>
          <w:rFonts w:ascii="Verdana" w:hAnsi="Verdana"/>
          <w:sz w:val="20"/>
          <w:szCs w:val="20"/>
          <w:lang w:val="es-CO"/>
        </w:rPr>
        <w:t>, que consiste en la observación directa de la marcha y equilibrio por separa</w:t>
      </w:r>
      <w:r w:rsidR="00110D8E" w:rsidRPr="007223C1">
        <w:rPr>
          <w:rFonts w:ascii="Verdana" w:hAnsi="Verdana"/>
          <w:sz w:val="20"/>
          <w:szCs w:val="20"/>
          <w:lang w:val="es-CO"/>
        </w:rPr>
        <w:t xml:space="preserve">do. Esta </w:t>
      </w:r>
      <w:r w:rsidRPr="007223C1">
        <w:rPr>
          <w:rFonts w:ascii="Verdana" w:hAnsi="Verdana"/>
          <w:sz w:val="20"/>
          <w:szCs w:val="20"/>
          <w:lang w:val="es-CO"/>
        </w:rPr>
        <w:t xml:space="preserve">evaluación tiene </w:t>
      </w:r>
      <w:r w:rsidR="00410F0F" w:rsidRPr="007223C1">
        <w:rPr>
          <w:rFonts w:ascii="Verdana" w:hAnsi="Verdana"/>
          <w:sz w:val="20"/>
          <w:szCs w:val="20"/>
          <w:lang w:val="es-CO"/>
        </w:rPr>
        <w:t>una puntuación de 0 a 2</w:t>
      </w:r>
      <w:r w:rsidRPr="007223C1">
        <w:rPr>
          <w:rFonts w:ascii="Verdana" w:hAnsi="Verdana"/>
          <w:sz w:val="20"/>
          <w:szCs w:val="20"/>
          <w:lang w:val="es-CO"/>
        </w:rPr>
        <w:t xml:space="preserve"> segú</w:t>
      </w:r>
      <w:r w:rsidR="00110D8E" w:rsidRPr="007223C1">
        <w:rPr>
          <w:rFonts w:ascii="Verdana" w:hAnsi="Verdana"/>
          <w:sz w:val="20"/>
          <w:szCs w:val="20"/>
          <w:lang w:val="es-CO"/>
        </w:rPr>
        <w:t xml:space="preserve">n la dificultad que presente el sujeto, siendo más </w:t>
      </w:r>
      <w:r w:rsidRPr="007223C1">
        <w:rPr>
          <w:rFonts w:ascii="Verdana" w:hAnsi="Verdana"/>
          <w:sz w:val="20"/>
          <w:szCs w:val="20"/>
          <w:lang w:val="es-CO"/>
        </w:rPr>
        <w:t>alta</w:t>
      </w:r>
      <w:r w:rsidR="00110D8E" w:rsidRPr="007223C1">
        <w:rPr>
          <w:rFonts w:ascii="Verdana" w:hAnsi="Verdana"/>
          <w:sz w:val="20"/>
          <w:szCs w:val="20"/>
          <w:lang w:val="es-CO"/>
        </w:rPr>
        <w:t xml:space="preserve"> la puntuación</w:t>
      </w:r>
      <w:r w:rsidR="00624FB3" w:rsidRPr="007223C1">
        <w:rPr>
          <w:rFonts w:ascii="Verdana" w:hAnsi="Verdana"/>
          <w:sz w:val="20"/>
          <w:szCs w:val="20"/>
          <w:lang w:val="es-CO"/>
        </w:rPr>
        <w:t xml:space="preserve"> cuando la acción realizada es</w:t>
      </w:r>
      <w:r w:rsidRPr="007223C1">
        <w:rPr>
          <w:rFonts w:ascii="Verdana" w:hAnsi="Verdana"/>
          <w:sz w:val="20"/>
          <w:szCs w:val="20"/>
          <w:lang w:val="es-CO"/>
        </w:rPr>
        <w:t xml:space="preserve"> normal.</w:t>
      </w:r>
      <w:r w:rsidR="008F4485" w:rsidRPr="007223C1">
        <w:rPr>
          <w:rFonts w:ascii="Verdana" w:hAnsi="Verdana"/>
          <w:sz w:val="20"/>
          <w:szCs w:val="20"/>
          <w:lang w:val="es-CO"/>
        </w:rPr>
        <w:t xml:space="preserve"> </w:t>
      </w:r>
      <w:r w:rsidR="00E85EDB" w:rsidRPr="007223C1">
        <w:rPr>
          <w:rFonts w:ascii="Verdana" w:hAnsi="Verdana"/>
          <w:sz w:val="20"/>
          <w:szCs w:val="20"/>
          <w:lang w:val="es-CO"/>
        </w:rPr>
        <w:t>El puntaje máximo del equilibrio es 16 y el de la marcha 12, al sumar ambos se obtiene un puntaje total de 28, con el cual se determina el riesgo de caídas, siendo entre 19-24 un riesgo mínimo y menos de 19 un riesgo alto de caídas</w:t>
      </w:r>
      <w:r w:rsidR="00A25956">
        <w:rPr>
          <w:rFonts w:ascii="Verdana" w:hAnsi="Verdana"/>
          <w:sz w:val="20"/>
          <w:szCs w:val="20"/>
          <w:lang w:val="es-CO"/>
        </w:rPr>
        <w:t>.</w:t>
      </w:r>
      <w:r w:rsidR="00070C4A" w:rsidRPr="00A25956">
        <w:rPr>
          <w:rFonts w:ascii="Verdana" w:hAnsi="Verdana"/>
          <w:sz w:val="20"/>
          <w:szCs w:val="20"/>
          <w:vertAlign w:val="superscript"/>
          <w:lang w:val="es-CO"/>
        </w:rPr>
        <w:t>15</w:t>
      </w:r>
    </w:p>
    <w:p w14:paraId="1C1E99DB" w14:textId="77777777" w:rsidR="00380FBE" w:rsidRPr="007223C1" w:rsidRDefault="00380FBE" w:rsidP="007223C1">
      <w:pPr>
        <w:widowControl/>
        <w:shd w:val="clear" w:color="auto" w:fill="FFFFFF"/>
        <w:spacing w:line="360" w:lineRule="auto"/>
        <w:jc w:val="both"/>
        <w:textAlignment w:val="baseline"/>
        <w:rPr>
          <w:rFonts w:ascii="Verdana" w:hAnsi="Verdana"/>
          <w:b/>
          <w:sz w:val="20"/>
          <w:szCs w:val="20"/>
          <w:lang w:val="es-CO"/>
        </w:rPr>
      </w:pPr>
    </w:p>
    <w:p w14:paraId="272C36F6" w14:textId="0306F3EC" w:rsidR="00011243" w:rsidRPr="007223C1" w:rsidRDefault="00215E75" w:rsidP="007223C1">
      <w:pPr>
        <w:widowControl/>
        <w:shd w:val="clear" w:color="auto" w:fill="FFFFFF"/>
        <w:spacing w:line="360" w:lineRule="auto"/>
        <w:jc w:val="both"/>
        <w:textAlignment w:val="baseline"/>
        <w:rPr>
          <w:rFonts w:ascii="Verdana" w:hAnsi="Verdana"/>
          <w:b/>
          <w:sz w:val="20"/>
          <w:szCs w:val="20"/>
          <w:lang w:val="es-CO"/>
        </w:rPr>
      </w:pPr>
      <w:r>
        <w:rPr>
          <w:rFonts w:ascii="Verdana" w:hAnsi="Verdana"/>
          <w:b/>
          <w:sz w:val="20"/>
          <w:szCs w:val="20"/>
          <w:lang w:val="es-CO"/>
        </w:rPr>
        <w:t>Análisis estadístico</w:t>
      </w:r>
    </w:p>
    <w:p w14:paraId="09EBC612" w14:textId="77777777"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 xml:space="preserve">Se utilizó el programa </w:t>
      </w:r>
      <w:proofErr w:type="spellStart"/>
      <w:r w:rsidRPr="007223C1">
        <w:rPr>
          <w:rFonts w:ascii="Verdana" w:hAnsi="Verdana"/>
          <w:sz w:val="20"/>
          <w:szCs w:val="20"/>
          <w:lang w:val="es-CO"/>
        </w:rPr>
        <w:t>Stata</w:t>
      </w:r>
      <w:proofErr w:type="spellEnd"/>
      <w:r w:rsidRPr="007223C1">
        <w:rPr>
          <w:rFonts w:ascii="Verdana" w:hAnsi="Verdana"/>
          <w:sz w:val="20"/>
          <w:szCs w:val="20"/>
          <w:lang w:val="es-CO"/>
        </w:rPr>
        <w:t xml:space="preserve"> 13.1 para el análisis de los datos. Se calcularon medidas de tendencia central y de dispersión para las variables cuantitativas, y frecuencias absolutas y relativas para las variables cualitativas. Se utilizó test de Pearson y de Spearman para relacionar las variables cuantitativas de interés, se realizó análisis de regresión lineal simple y múltiple teniendo como variable dependiente el riesgo de caída. El nivel de significancia usado fue 0,05.</w:t>
      </w:r>
    </w:p>
    <w:p w14:paraId="351A615A" w14:textId="77777777" w:rsidR="00011243" w:rsidRPr="007223C1" w:rsidRDefault="00011243" w:rsidP="007223C1">
      <w:pPr>
        <w:widowControl/>
        <w:shd w:val="clear" w:color="auto" w:fill="FFFFFF"/>
        <w:spacing w:line="360" w:lineRule="auto"/>
        <w:jc w:val="both"/>
        <w:textAlignment w:val="baseline"/>
        <w:rPr>
          <w:rFonts w:ascii="Verdana" w:hAnsi="Verdana"/>
          <w:b/>
          <w:sz w:val="20"/>
          <w:szCs w:val="20"/>
          <w:lang w:val="es-CO"/>
        </w:rPr>
      </w:pPr>
      <w:bookmarkStart w:id="1" w:name="_3fwokq0" w:colFirst="0" w:colLast="0"/>
      <w:bookmarkEnd w:id="1"/>
    </w:p>
    <w:p w14:paraId="5015981B" w14:textId="1429C0C2" w:rsidR="00011243" w:rsidRPr="007223C1" w:rsidRDefault="007E6E55" w:rsidP="007223C1">
      <w:pPr>
        <w:widowControl/>
        <w:shd w:val="clear" w:color="auto" w:fill="FFFFFF"/>
        <w:spacing w:line="360" w:lineRule="auto"/>
        <w:jc w:val="both"/>
        <w:textAlignment w:val="baseline"/>
        <w:rPr>
          <w:rFonts w:ascii="Verdana" w:hAnsi="Verdana"/>
          <w:b/>
          <w:sz w:val="20"/>
          <w:szCs w:val="20"/>
          <w:lang w:val="es-CO"/>
        </w:rPr>
      </w:pPr>
      <w:r>
        <w:rPr>
          <w:rFonts w:ascii="Verdana" w:hAnsi="Verdana"/>
          <w:b/>
          <w:sz w:val="20"/>
          <w:szCs w:val="20"/>
          <w:lang w:val="es-CO"/>
        </w:rPr>
        <w:t>RESULTADOS</w:t>
      </w:r>
    </w:p>
    <w:p w14:paraId="2BAFC3C6" w14:textId="17A048D6" w:rsidR="00011243" w:rsidRPr="007223C1" w:rsidRDefault="00624FB3" w:rsidP="007223C1">
      <w:pPr>
        <w:widowControl/>
        <w:shd w:val="clear" w:color="auto" w:fill="FFFFFF"/>
        <w:spacing w:line="360" w:lineRule="auto"/>
        <w:jc w:val="both"/>
        <w:textAlignment w:val="baseline"/>
        <w:rPr>
          <w:rFonts w:ascii="Verdana" w:hAnsi="Verdana"/>
          <w:sz w:val="20"/>
          <w:szCs w:val="20"/>
          <w:lang w:val="es-CO"/>
        </w:rPr>
      </w:pPr>
      <w:r w:rsidRPr="007223C1">
        <w:rPr>
          <w:rFonts w:ascii="Verdana" w:hAnsi="Verdana"/>
          <w:sz w:val="20"/>
          <w:szCs w:val="20"/>
          <w:lang w:val="es-CO"/>
        </w:rPr>
        <w:t>En la tabla 1 se muestran las características de la población evaluada. El 82,5</w:t>
      </w:r>
      <w:r w:rsidR="007E6E55">
        <w:rPr>
          <w:rFonts w:ascii="Verdana" w:hAnsi="Verdana"/>
          <w:sz w:val="20"/>
          <w:szCs w:val="20"/>
          <w:lang w:val="es-CO"/>
        </w:rPr>
        <w:t xml:space="preserve"> </w:t>
      </w:r>
      <w:r w:rsidRPr="007223C1">
        <w:rPr>
          <w:rFonts w:ascii="Verdana" w:hAnsi="Verdana"/>
          <w:sz w:val="20"/>
          <w:szCs w:val="20"/>
          <w:lang w:val="es-CO"/>
        </w:rPr>
        <w:t xml:space="preserve">% de los evaluados eran mujeres, la mediana de edad 66 años, la del peso corporal 70,15 kg, la media de talla 1,59 </w:t>
      </w:r>
      <w:proofErr w:type="spellStart"/>
      <w:r w:rsidRPr="007223C1">
        <w:rPr>
          <w:rFonts w:ascii="Verdana" w:hAnsi="Verdana"/>
          <w:sz w:val="20"/>
          <w:szCs w:val="20"/>
          <w:lang w:val="es-CO"/>
        </w:rPr>
        <w:t>mts</w:t>
      </w:r>
      <w:proofErr w:type="spellEnd"/>
      <w:r w:rsidRPr="007223C1">
        <w:rPr>
          <w:rFonts w:ascii="Verdana" w:hAnsi="Verdana"/>
          <w:sz w:val="20"/>
          <w:szCs w:val="20"/>
          <w:lang w:val="es-CO"/>
        </w:rPr>
        <w:t xml:space="preserve"> y la mediana del IMC de 26,6 kg/mts</w:t>
      </w:r>
      <w:r w:rsidRPr="007223C1">
        <w:rPr>
          <w:rFonts w:ascii="Verdana" w:hAnsi="Verdana"/>
          <w:sz w:val="20"/>
          <w:szCs w:val="20"/>
          <w:vertAlign w:val="superscript"/>
          <w:lang w:val="es-CO"/>
        </w:rPr>
        <w:t>2</w:t>
      </w:r>
      <w:r w:rsidRPr="007223C1">
        <w:rPr>
          <w:rFonts w:ascii="Verdana" w:hAnsi="Verdana"/>
          <w:sz w:val="20"/>
          <w:szCs w:val="20"/>
          <w:lang w:val="es-CO"/>
        </w:rPr>
        <w:t>. En cuanto a antecedentes, el factor de riesgo más prevalente fue la hipertensión arterial la cual estuvo presente en un 35</w:t>
      </w:r>
      <w:r w:rsidR="007E6E55">
        <w:rPr>
          <w:rFonts w:ascii="Verdana" w:hAnsi="Verdana"/>
          <w:sz w:val="20"/>
          <w:szCs w:val="20"/>
          <w:lang w:val="es-CO"/>
        </w:rPr>
        <w:t xml:space="preserve"> </w:t>
      </w:r>
      <w:r w:rsidRPr="007223C1">
        <w:rPr>
          <w:rFonts w:ascii="Verdana" w:hAnsi="Verdana"/>
          <w:sz w:val="20"/>
          <w:szCs w:val="20"/>
          <w:lang w:val="es-CO"/>
        </w:rPr>
        <w:t>% de la población.</w:t>
      </w:r>
    </w:p>
    <w:p w14:paraId="3C256927" w14:textId="77777777" w:rsidR="00342880" w:rsidRDefault="00342880" w:rsidP="00342880">
      <w:pPr>
        <w:spacing w:line="360" w:lineRule="auto"/>
        <w:jc w:val="both"/>
        <w:rPr>
          <w:rFonts w:ascii="Verdana" w:hAnsi="Verdana"/>
          <w:b/>
          <w:sz w:val="20"/>
          <w:szCs w:val="20"/>
        </w:rPr>
      </w:pPr>
    </w:p>
    <w:p w14:paraId="3686E287" w14:textId="77777777" w:rsidR="002735FC" w:rsidRDefault="002735FC" w:rsidP="00342880">
      <w:pPr>
        <w:spacing w:line="360" w:lineRule="auto"/>
        <w:jc w:val="both"/>
        <w:rPr>
          <w:rFonts w:ascii="Verdana" w:hAnsi="Verdana"/>
          <w:b/>
          <w:sz w:val="20"/>
          <w:szCs w:val="20"/>
        </w:rPr>
      </w:pPr>
    </w:p>
    <w:p w14:paraId="6FAD3818" w14:textId="77777777" w:rsidR="002735FC" w:rsidRDefault="002735FC" w:rsidP="00342880">
      <w:pPr>
        <w:spacing w:line="360" w:lineRule="auto"/>
        <w:jc w:val="both"/>
        <w:rPr>
          <w:rFonts w:ascii="Verdana" w:hAnsi="Verdana"/>
          <w:b/>
          <w:sz w:val="20"/>
          <w:szCs w:val="20"/>
        </w:rPr>
      </w:pPr>
    </w:p>
    <w:p w14:paraId="634DF5DD" w14:textId="77777777" w:rsidR="002735FC" w:rsidRPr="007223C1" w:rsidRDefault="002735FC" w:rsidP="00342880">
      <w:pPr>
        <w:spacing w:line="360" w:lineRule="auto"/>
        <w:jc w:val="both"/>
        <w:rPr>
          <w:rFonts w:ascii="Verdana" w:hAnsi="Verdana"/>
          <w:b/>
          <w:sz w:val="20"/>
          <w:szCs w:val="20"/>
        </w:rPr>
      </w:pPr>
      <w:bookmarkStart w:id="2" w:name="_GoBack"/>
      <w:bookmarkEnd w:id="2"/>
    </w:p>
    <w:p w14:paraId="023FC57A" w14:textId="020C6136" w:rsidR="00342880" w:rsidRDefault="00342880" w:rsidP="00CB6666">
      <w:pPr>
        <w:jc w:val="center"/>
        <w:rPr>
          <w:rFonts w:ascii="Verdana" w:hAnsi="Verdana"/>
          <w:sz w:val="20"/>
          <w:szCs w:val="20"/>
          <w:lang w:val="es-CO"/>
        </w:rPr>
      </w:pPr>
      <w:r w:rsidRPr="007223C1">
        <w:rPr>
          <w:rFonts w:ascii="Verdana" w:hAnsi="Verdana"/>
          <w:b/>
          <w:sz w:val="20"/>
          <w:szCs w:val="20"/>
          <w:lang w:val="es-CO"/>
        </w:rPr>
        <w:lastRenderedPageBreak/>
        <w:t xml:space="preserve">Tabla 1. </w:t>
      </w:r>
      <w:r w:rsidRPr="00CB6666">
        <w:rPr>
          <w:rFonts w:ascii="Verdana" w:hAnsi="Verdana"/>
          <w:sz w:val="20"/>
          <w:szCs w:val="20"/>
          <w:lang w:val="es-CO"/>
        </w:rPr>
        <w:t>Características generales de la población de estudio</w:t>
      </w:r>
    </w:p>
    <w:p w14:paraId="2FF9F477" w14:textId="77777777" w:rsidR="00F108F5" w:rsidRPr="00CB6666" w:rsidRDefault="00F108F5" w:rsidP="00CB6666">
      <w:pPr>
        <w:jc w:val="center"/>
        <w:rPr>
          <w:rFonts w:ascii="Verdana" w:hAnsi="Verdana"/>
          <w:sz w:val="20"/>
          <w:szCs w:val="20"/>
          <w:lang w:val="es-CO"/>
        </w:rPr>
      </w:pPr>
    </w:p>
    <w:tbl>
      <w:tblPr>
        <w:tblStyle w:val="Estilo1"/>
        <w:tblW w:w="8647" w:type="dxa"/>
        <w:jc w:val="center"/>
        <w:tblLayout w:type="fixed"/>
        <w:tblLook w:val="04A0" w:firstRow="1" w:lastRow="0" w:firstColumn="1" w:lastColumn="0" w:noHBand="0" w:noVBand="1"/>
      </w:tblPr>
      <w:tblGrid>
        <w:gridCol w:w="2413"/>
        <w:gridCol w:w="2635"/>
        <w:gridCol w:w="1789"/>
        <w:gridCol w:w="1810"/>
      </w:tblGrid>
      <w:tr w:rsidR="00342880" w:rsidRPr="007223C1" w14:paraId="2BA24149" w14:textId="77777777" w:rsidTr="00CB6666">
        <w:trPr>
          <w:cnfStyle w:val="100000000000" w:firstRow="1" w:lastRow="0" w:firstColumn="0" w:lastColumn="0" w:oddVBand="0" w:evenVBand="0" w:oddHBand="0" w:evenHBand="0" w:firstRowFirstColumn="0" w:firstRowLastColumn="0" w:lastRowFirstColumn="0" w:lastRowLastColumn="0"/>
          <w:jc w:val="center"/>
        </w:trPr>
        <w:tc>
          <w:tcPr>
            <w:tcW w:w="4988" w:type="dxa"/>
            <w:gridSpan w:val="2"/>
          </w:tcPr>
          <w:p w14:paraId="638797A9" w14:textId="77777777" w:rsidR="00342880" w:rsidRPr="00342880" w:rsidRDefault="00342880" w:rsidP="00CB6666">
            <w:pPr>
              <w:rPr>
                <w:rFonts w:ascii="Verdana" w:hAnsi="Verdana"/>
                <w:sz w:val="20"/>
                <w:szCs w:val="20"/>
              </w:rPr>
            </w:pPr>
            <w:r w:rsidRPr="00342880">
              <w:rPr>
                <w:rFonts w:ascii="Verdana" w:hAnsi="Verdana"/>
                <w:sz w:val="20"/>
                <w:szCs w:val="20"/>
              </w:rPr>
              <w:t>VARIABLE</w:t>
            </w:r>
          </w:p>
        </w:tc>
        <w:tc>
          <w:tcPr>
            <w:tcW w:w="1749" w:type="dxa"/>
          </w:tcPr>
          <w:p w14:paraId="63D20D08" w14:textId="77777777" w:rsidR="00342880" w:rsidRPr="00342880" w:rsidRDefault="00342880" w:rsidP="00CB6666">
            <w:pPr>
              <w:jc w:val="center"/>
              <w:rPr>
                <w:rFonts w:ascii="Verdana" w:hAnsi="Verdana"/>
                <w:sz w:val="20"/>
                <w:szCs w:val="20"/>
              </w:rPr>
            </w:pPr>
            <w:r w:rsidRPr="00342880">
              <w:rPr>
                <w:rFonts w:ascii="Verdana" w:hAnsi="Verdana"/>
                <w:sz w:val="20"/>
                <w:szCs w:val="20"/>
              </w:rPr>
              <w:t>N=40</w:t>
            </w:r>
          </w:p>
        </w:tc>
        <w:tc>
          <w:tcPr>
            <w:tcW w:w="1750" w:type="dxa"/>
          </w:tcPr>
          <w:p w14:paraId="0C4AC633" w14:textId="77777777" w:rsidR="00342880" w:rsidRPr="00342880" w:rsidRDefault="00342880" w:rsidP="00CB6666">
            <w:pPr>
              <w:jc w:val="center"/>
              <w:rPr>
                <w:rFonts w:ascii="Verdana" w:hAnsi="Verdana"/>
                <w:sz w:val="20"/>
                <w:szCs w:val="20"/>
              </w:rPr>
            </w:pPr>
            <w:r w:rsidRPr="00342880">
              <w:rPr>
                <w:rFonts w:ascii="Verdana" w:hAnsi="Verdana"/>
                <w:sz w:val="20"/>
                <w:szCs w:val="20"/>
              </w:rPr>
              <w:t>%</w:t>
            </w:r>
          </w:p>
        </w:tc>
      </w:tr>
      <w:tr w:rsidR="00342880" w:rsidRPr="007223C1" w14:paraId="2B68DCE9" w14:textId="77777777" w:rsidTr="00CB6666">
        <w:trPr>
          <w:trHeight w:val="1090"/>
          <w:jc w:val="center"/>
        </w:trPr>
        <w:tc>
          <w:tcPr>
            <w:tcW w:w="2353" w:type="dxa"/>
          </w:tcPr>
          <w:p w14:paraId="0AAF4E30" w14:textId="77777777" w:rsidR="00342880" w:rsidRPr="007223C1" w:rsidRDefault="00342880" w:rsidP="00CB6666">
            <w:pPr>
              <w:rPr>
                <w:rFonts w:ascii="Verdana" w:hAnsi="Verdana"/>
                <w:sz w:val="20"/>
                <w:szCs w:val="20"/>
              </w:rPr>
            </w:pPr>
            <w:proofErr w:type="spellStart"/>
            <w:r w:rsidRPr="007223C1">
              <w:rPr>
                <w:rFonts w:ascii="Verdana" w:hAnsi="Verdana"/>
                <w:sz w:val="20"/>
                <w:szCs w:val="20"/>
              </w:rPr>
              <w:t>Género</w:t>
            </w:r>
            <w:proofErr w:type="spellEnd"/>
          </w:p>
        </w:tc>
        <w:tc>
          <w:tcPr>
            <w:tcW w:w="2595" w:type="dxa"/>
          </w:tcPr>
          <w:p w14:paraId="0257318D" w14:textId="77777777" w:rsidR="00342880" w:rsidRPr="007223C1" w:rsidRDefault="00342880" w:rsidP="00CB6666">
            <w:pPr>
              <w:jc w:val="center"/>
              <w:rPr>
                <w:rFonts w:ascii="Verdana" w:hAnsi="Verdana"/>
                <w:sz w:val="20"/>
                <w:szCs w:val="20"/>
              </w:rPr>
            </w:pPr>
            <w:r w:rsidRPr="007223C1">
              <w:rPr>
                <w:rFonts w:ascii="Verdana" w:hAnsi="Verdana"/>
                <w:sz w:val="20"/>
                <w:szCs w:val="20"/>
              </w:rPr>
              <w:t>Hombre</w:t>
            </w:r>
          </w:p>
          <w:p w14:paraId="6614A4D8" w14:textId="77777777" w:rsidR="00342880" w:rsidRPr="007223C1" w:rsidRDefault="00342880" w:rsidP="00CB6666">
            <w:pPr>
              <w:jc w:val="center"/>
              <w:rPr>
                <w:rFonts w:ascii="Verdana" w:hAnsi="Verdana"/>
                <w:sz w:val="20"/>
                <w:szCs w:val="20"/>
              </w:rPr>
            </w:pPr>
            <w:proofErr w:type="spellStart"/>
            <w:r w:rsidRPr="007223C1">
              <w:rPr>
                <w:rFonts w:ascii="Verdana" w:hAnsi="Verdana"/>
                <w:sz w:val="20"/>
                <w:szCs w:val="20"/>
              </w:rPr>
              <w:t>Mujer</w:t>
            </w:r>
            <w:proofErr w:type="spellEnd"/>
          </w:p>
        </w:tc>
        <w:tc>
          <w:tcPr>
            <w:tcW w:w="3539" w:type="dxa"/>
            <w:gridSpan w:val="2"/>
          </w:tcPr>
          <w:p w14:paraId="4104DC45" w14:textId="19F5B423" w:rsidR="00342880" w:rsidRPr="007223C1" w:rsidRDefault="00342880" w:rsidP="00CB6666">
            <w:pPr>
              <w:jc w:val="center"/>
              <w:rPr>
                <w:rFonts w:ascii="Verdana" w:hAnsi="Verdana"/>
                <w:sz w:val="20"/>
                <w:szCs w:val="20"/>
              </w:rPr>
            </w:pPr>
            <w:r w:rsidRPr="007223C1">
              <w:rPr>
                <w:rFonts w:ascii="Verdana" w:hAnsi="Verdana"/>
                <w:sz w:val="20"/>
                <w:szCs w:val="20"/>
              </w:rPr>
              <w:t>7                          17</w:t>
            </w:r>
            <w:r w:rsidR="00F108F5">
              <w:rPr>
                <w:rFonts w:ascii="Verdana" w:hAnsi="Verdana"/>
                <w:sz w:val="20"/>
                <w:szCs w:val="20"/>
              </w:rPr>
              <w:t>,</w:t>
            </w:r>
            <w:r w:rsidRPr="007223C1">
              <w:rPr>
                <w:rFonts w:ascii="Verdana" w:hAnsi="Verdana"/>
                <w:sz w:val="20"/>
                <w:szCs w:val="20"/>
              </w:rPr>
              <w:t>5</w:t>
            </w:r>
            <w:r w:rsidR="00F108F5">
              <w:rPr>
                <w:rFonts w:ascii="Verdana" w:hAnsi="Verdana"/>
                <w:sz w:val="20"/>
                <w:szCs w:val="20"/>
              </w:rPr>
              <w:t xml:space="preserve"> </w:t>
            </w:r>
            <w:r w:rsidRPr="007223C1">
              <w:rPr>
                <w:rFonts w:ascii="Verdana" w:hAnsi="Verdana"/>
                <w:sz w:val="20"/>
                <w:szCs w:val="20"/>
              </w:rPr>
              <w:t>%</w:t>
            </w:r>
          </w:p>
          <w:p w14:paraId="72831FD3" w14:textId="0B82873F" w:rsidR="00342880" w:rsidRPr="007223C1" w:rsidRDefault="00342880" w:rsidP="00F108F5">
            <w:pPr>
              <w:jc w:val="center"/>
              <w:rPr>
                <w:rFonts w:ascii="Verdana" w:hAnsi="Verdana"/>
                <w:sz w:val="20"/>
                <w:szCs w:val="20"/>
              </w:rPr>
            </w:pPr>
            <w:r w:rsidRPr="007223C1">
              <w:rPr>
                <w:rFonts w:ascii="Verdana" w:hAnsi="Verdana"/>
                <w:sz w:val="20"/>
                <w:szCs w:val="20"/>
              </w:rPr>
              <w:t>33                        82</w:t>
            </w:r>
            <w:r w:rsidR="00F108F5">
              <w:rPr>
                <w:rFonts w:ascii="Verdana" w:hAnsi="Verdana"/>
                <w:sz w:val="20"/>
                <w:szCs w:val="20"/>
              </w:rPr>
              <w:t>,</w:t>
            </w:r>
            <w:r w:rsidRPr="007223C1">
              <w:rPr>
                <w:rFonts w:ascii="Verdana" w:hAnsi="Verdana"/>
                <w:sz w:val="20"/>
                <w:szCs w:val="20"/>
              </w:rPr>
              <w:t>5</w:t>
            </w:r>
            <w:r w:rsidR="00F108F5">
              <w:rPr>
                <w:rFonts w:ascii="Verdana" w:hAnsi="Verdana"/>
                <w:sz w:val="20"/>
                <w:szCs w:val="20"/>
              </w:rPr>
              <w:t xml:space="preserve"> </w:t>
            </w:r>
            <w:r w:rsidRPr="007223C1">
              <w:rPr>
                <w:rFonts w:ascii="Verdana" w:hAnsi="Verdana"/>
                <w:sz w:val="20"/>
                <w:szCs w:val="20"/>
              </w:rPr>
              <w:t>%</w:t>
            </w:r>
          </w:p>
        </w:tc>
      </w:tr>
      <w:tr w:rsidR="00342880" w:rsidRPr="007223C1" w14:paraId="1FC77963" w14:textId="77777777" w:rsidTr="00CB6666">
        <w:trPr>
          <w:jc w:val="center"/>
        </w:trPr>
        <w:tc>
          <w:tcPr>
            <w:tcW w:w="2353" w:type="dxa"/>
          </w:tcPr>
          <w:p w14:paraId="70EFA8D7" w14:textId="77777777" w:rsidR="00342880" w:rsidRPr="007223C1" w:rsidRDefault="00342880" w:rsidP="00CB6666">
            <w:pPr>
              <w:rPr>
                <w:rFonts w:ascii="Verdana" w:hAnsi="Verdana"/>
                <w:sz w:val="20"/>
                <w:szCs w:val="20"/>
              </w:rPr>
            </w:pPr>
            <w:proofErr w:type="spellStart"/>
            <w:r w:rsidRPr="007223C1">
              <w:rPr>
                <w:rFonts w:ascii="Verdana" w:hAnsi="Verdana"/>
                <w:sz w:val="20"/>
                <w:szCs w:val="20"/>
              </w:rPr>
              <w:t>Edad</w:t>
            </w:r>
            <w:proofErr w:type="spellEnd"/>
          </w:p>
        </w:tc>
        <w:tc>
          <w:tcPr>
            <w:tcW w:w="6174" w:type="dxa"/>
            <w:gridSpan w:val="3"/>
          </w:tcPr>
          <w:p w14:paraId="352D23E9" w14:textId="77777777" w:rsidR="00342880" w:rsidRPr="007223C1" w:rsidRDefault="00342880" w:rsidP="00887444">
            <w:pPr>
              <w:jc w:val="center"/>
              <w:rPr>
                <w:rFonts w:ascii="Verdana" w:hAnsi="Verdana"/>
                <w:sz w:val="20"/>
                <w:szCs w:val="20"/>
              </w:rPr>
            </w:pPr>
            <w:r w:rsidRPr="007223C1">
              <w:rPr>
                <w:rFonts w:ascii="Verdana" w:hAnsi="Verdana"/>
                <w:sz w:val="20"/>
                <w:szCs w:val="20"/>
              </w:rPr>
              <w:t>66 (63.5-70)</w:t>
            </w:r>
          </w:p>
        </w:tc>
      </w:tr>
      <w:tr w:rsidR="00342880" w:rsidRPr="007223C1" w14:paraId="0866BF59" w14:textId="77777777" w:rsidTr="00CB6666">
        <w:trPr>
          <w:jc w:val="center"/>
        </w:trPr>
        <w:tc>
          <w:tcPr>
            <w:tcW w:w="2353" w:type="dxa"/>
          </w:tcPr>
          <w:p w14:paraId="42889957" w14:textId="77777777" w:rsidR="00342880" w:rsidRPr="007223C1" w:rsidRDefault="00342880" w:rsidP="00CB6666">
            <w:pPr>
              <w:rPr>
                <w:rFonts w:ascii="Verdana" w:hAnsi="Verdana"/>
                <w:sz w:val="20"/>
                <w:szCs w:val="20"/>
              </w:rPr>
            </w:pPr>
            <w:r w:rsidRPr="007223C1">
              <w:rPr>
                <w:rFonts w:ascii="Verdana" w:hAnsi="Verdana"/>
                <w:sz w:val="20"/>
                <w:szCs w:val="20"/>
              </w:rPr>
              <w:t>Peso (kg)</w:t>
            </w:r>
          </w:p>
        </w:tc>
        <w:tc>
          <w:tcPr>
            <w:tcW w:w="6174" w:type="dxa"/>
            <w:gridSpan w:val="3"/>
          </w:tcPr>
          <w:p w14:paraId="0D6F784C" w14:textId="77777777" w:rsidR="00342880" w:rsidRPr="007223C1" w:rsidRDefault="00342880" w:rsidP="00887444">
            <w:pPr>
              <w:jc w:val="center"/>
              <w:rPr>
                <w:rFonts w:ascii="Verdana" w:hAnsi="Verdana"/>
                <w:sz w:val="20"/>
                <w:szCs w:val="20"/>
              </w:rPr>
            </w:pPr>
            <w:r w:rsidRPr="007223C1">
              <w:rPr>
                <w:rFonts w:ascii="Verdana" w:hAnsi="Verdana"/>
                <w:sz w:val="20"/>
                <w:szCs w:val="20"/>
              </w:rPr>
              <w:t>70.15 (62.2-73.6)</w:t>
            </w:r>
          </w:p>
        </w:tc>
      </w:tr>
      <w:tr w:rsidR="00342880" w:rsidRPr="007223C1" w14:paraId="5BC9D307" w14:textId="77777777" w:rsidTr="00CB6666">
        <w:trPr>
          <w:jc w:val="center"/>
        </w:trPr>
        <w:tc>
          <w:tcPr>
            <w:tcW w:w="2353" w:type="dxa"/>
          </w:tcPr>
          <w:p w14:paraId="68C77499" w14:textId="77777777" w:rsidR="00342880" w:rsidRPr="007223C1" w:rsidRDefault="00342880" w:rsidP="00CB6666">
            <w:pPr>
              <w:rPr>
                <w:rFonts w:ascii="Verdana" w:hAnsi="Verdana"/>
                <w:sz w:val="20"/>
                <w:szCs w:val="20"/>
              </w:rPr>
            </w:pPr>
            <w:proofErr w:type="spellStart"/>
            <w:r w:rsidRPr="007223C1">
              <w:rPr>
                <w:rFonts w:ascii="Verdana" w:hAnsi="Verdana"/>
                <w:sz w:val="20"/>
                <w:szCs w:val="20"/>
              </w:rPr>
              <w:t>Talla</w:t>
            </w:r>
            <w:proofErr w:type="spellEnd"/>
            <w:r w:rsidRPr="007223C1">
              <w:rPr>
                <w:rFonts w:ascii="Verdana" w:hAnsi="Verdana"/>
                <w:sz w:val="20"/>
                <w:szCs w:val="20"/>
              </w:rPr>
              <w:t xml:space="preserve"> (</w:t>
            </w:r>
            <w:proofErr w:type="spellStart"/>
            <w:r w:rsidRPr="007223C1">
              <w:rPr>
                <w:rFonts w:ascii="Verdana" w:hAnsi="Verdana"/>
                <w:sz w:val="20"/>
                <w:szCs w:val="20"/>
              </w:rPr>
              <w:t>mts</w:t>
            </w:r>
            <w:proofErr w:type="spellEnd"/>
            <w:r w:rsidRPr="007223C1">
              <w:rPr>
                <w:rFonts w:ascii="Verdana" w:hAnsi="Verdana"/>
                <w:sz w:val="20"/>
                <w:szCs w:val="20"/>
              </w:rPr>
              <w:t>)</w:t>
            </w:r>
          </w:p>
        </w:tc>
        <w:tc>
          <w:tcPr>
            <w:tcW w:w="6174" w:type="dxa"/>
            <w:gridSpan w:val="3"/>
          </w:tcPr>
          <w:p w14:paraId="46D1056C" w14:textId="77777777" w:rsidR="00342880" w:rsidRPr="007223C1" w:rsidRDefault="00342880" w:rsidP="00887444">
            <w:pPr>
              <w:jc w:val="center"/>
              <w:rPr>
                <w:rFonts w:ascii="Verdana" w:hAnsi="Verdana"/>
                <w:sz w:val="20"/>
                <w:szCs w:val="20"/>
              </w:rPr>
            </w:pPr>
            <w:r w:rsidRPr="007223C1">
              <w:rPr>
                <w:rFonts w:ascii="Verdana" w:hAnsi="Verdana"/>
                <w:sz w:val="20"/>
                <w:szCs w:val="20"/>
              </w:rPr>
              <w:t>1.59±0.06</w:t>
            </w:r>
          </w:p>
        </w:tc>
      </w:tr>
      <w:tr w:rsidR="00342880" w:rsidRPr="007223C1" w14:paraId="3F20E2E9" w14:textId="77777777" w:rsidTr="00CB6666">
        <w:trPr>
          <w:trHeight w:val="657"/>
          <w:jc w:val="center"/>
        </w:trPr>
        <w:tc>
          <w:tcPr>
            <w:tcW w:w="2353" w:type="dxa"/>
          </w:tcPr>
          <w:p w14:paraId="68B1A8BB" w14:textId="77777777" w:rsidR="00342880" w:rsidRPr="007223C1" w:rsidRDefault="00342880" w:rsidP="00CB6666">
            <w:pPr>
              <w:rPr>
                <w:rFonts w:ascii="Verdana" w:hAnsi="Verdana"/>
                <w:sz w:val="20"/>
                <w:szCs w:val="20"/>
              </w:rPr>
            </w:pPr>
            <w:r w:rsidRPr="007223C1">
              <w:rPr>
                <w:rFonts w:ascii="Verdana" w:hAnsi="Verdana"/>
                <w:sz w:val="20"/>
                <w:szCs w:val="20"/>
              </w:rPr>
              <w:t>IMC (kg/m2)</w:t>
            </w:r>
          </w:p>
        </w:tc>
        <w:tc>
          <w:tcPr>
            <w:tcW w:w="6174" w:type="dxa"/>
            <w:gridSpan w:val="3"/>
          </w:tcPr>
          <w:p w14:paraId="02A2EB13" w14:textId="77777777" w:rsidR="00342880" w:rsidRPr="007223C1" w:rsidRDefault="00342880" w:rsidP="00887444">
            <w:pPr>
              <w:jc w:val="center"/>
              <w:rPr>
                <w:rFonts w:ascii="Verdana" w:hAnsi="Verdana"/>
                <w:sz w:val="20"/>
                <w:szCs w:val="20"/>
              </w:rPr>
            </w:pPr>
            <w:r w:rsidRPr="007223C1">
              <w:rPr>
                <w:rFonts w:ascii="Verdana" w:hAnsi="Verdana"/>
                <w:sz w:val="20"/>
                <w:szCs w:val="20"/>
              </w:rPr>
              <w:t>26.6 (25 – 30.3)</w:t>
            </w:r>
          </w:p>
        </w:tc>
      </w:tr>
      <w:tr w:rsidR="00342880" w:rsidRPr="007223C1" w14:paraId="4CB399D3" w14:textId="77777777" w:rsidTr="00CB6666">
        <w:trPr>
          <w:jc w:val="center"/>
        </w:trPr>
        <w:tc>
          <w:tcPr>
            <w:tcW w:w="2353" w:type="dxa"/>
            <w:vMerge w:val="restart"/>
          </w:tcPr>
          <w:p w14:paraId="6BADE886" w14:textId="77777777" w:rsidR="00342880" w:rsidRPr="007223C1" w:rsidRDefault="00342880" w:rsidP="00CB6666">
            <w:pPr>
              <w:rPr>
                <w:rFonts w:ascii="Verdana" w:hAnsi="Verdana"/>
                <w:sz w:val="20"/>
                <w:szCs w:val="20"/>
              </w:rPr>
            </w:pPr>
          </w:p>
          <w:p w14:paraId="09BE5265" w14:textId="77777777" w:rsidR="00342880" w:rsidRPr="007223C1" w:rsidRDefault="00342880" w:rsidP="00CB6666">
            <w:pPr>
              <w:rPr>
                <w:rFonts w:ascii="Verdana" w:hAnsi="Verdana"/>
                <w:sz w:val="20"/>
                <w:szCs w:val="20"/>
              </w:rPr>
            </w:pPr>
          </w:p>
          <w:p w14:paraId="656BADF4" w14:textId="77777777" w:rsidR="00342880" w:rsidRPr="007223C1" w:rsidRDefault="00342880" w:rsidP="00CB6666">
            <w:pPr>
              <w:rPr>
                <w:rFonts w:ascii="Verdana" w:hAnsi="Verdana"/>
                <w:sz w:val="20"/>
                <w:szCs w:val="20"/>
              </w:rPr>
            </w:pPr>
            <w:proofErr w:type="spellStart"/>
            <w:r w:rsidRPr="007223C1">
              <w:rPr>
                <w:rFonts w:ascii="Verdana" w:hAnsi="Verdana"/>
                <w:sz w:val="20"/>
                <w:szCs w:val="20"/>
              </w:rPr>
              <w:t>Antecedentes</w:t>
            </w:r>
            <w:proofErr w:type="spellEnd"/>
          </w:p>
        </w:tc>
        <w:tc>
          <w:tcPr>
            <w:tcW w:w="2595" w:type="dxa"/>
          </w:tcPr>
          <w:p w14:paraId="6EFD4B7F" w14:textId="77777777" w:rsidR="00342880" w:rsidRPr="007223C1" w:rsidRDefault="00342880" w:rsidP="00CB6666">
            <w:pPr>
              <w:jc w:val="center"/>
              <w:rPr>
                <w:rFonts w:ascii="Verdana" w:hAnsi="Verdana"/>
                <w:sz w:val="20"/>
                <w:szCs w:val="20"/>
              </w:rPr>
            </w:pPr>
            <w:r w:rsidRPr="007223C1">
              <w:rPr>
                <w:rFonts w:ascii="Verdana" w:hAnsi="Verdana"/>
                <w:sz w:val="20"/>
                <w:szCs w:val="20"/>
              </w:rPr>
              <w:t>EPOC</w:t>
            </w:r>
          </w:p>
        </w:tc>
        <w:tc>
          <w:tcPr>
            <w:tcW w:w="3539" w:type="dxa"/>
            <w:gridSpan w:val="2"/>
          </w:tcPr>
          <w:p w14:paraId="06462985" w14:textId="428577BB" w:rsidR="00342880" w:rsidRPr="007223C1" w:rsidRDefault="00342880" w:rsidP="00BC7BE4">
            <w:pPr>
              <w:jc w:val="center"/>
              <w:rPr>
                <w:rFonts w:ascii="Verdana" w:hAnsi="Verdana"/>
                <w:sz w:val="20"/>
                <w:szCs w:val="20"/>
              </w:rPr>
            </w:pPr>
            <w:r w:rsidRPr="007223C1">
              <w:rPr>
                <w:rFonts w:ascii="Verdana" w:hAnsi="Verdana"/>
                <w:sz w:val="20"/>
                <w:szCs w:val="20"/>
              </w:rPr>
              <w:t>1                          2</w:t>
            </w:r>
            <w:r w:rsidR="00BC7BE4">
              <w:rPr>
                <w:rFonts w:ascii="Verdana" w:hAnsi="Verdana"/>
                <w:sz w:val="20"/>
                <w:szCs w:val="20"/>
              </w:rPr>
              <w:t>,</w:t>
            </w:r>
            <w:r w:rsidRPr="007223C1">
              <w:rPr>
                <w:rFonts w:ascii="Verdana" w:hAnsi="Verdana"/>
                <w:sz w:val="20"/>
                <w:szCs w:val="20"/>
              </w:rPr>
              <w:t>5</w:t>
            </w:r>
            <w:r w:rsidR="00BC7BE4">
              <w:rPr>
                <w:rFonts w:ascii="Verdana" w:hAnsi="Verdana"/>
                <w:sz w:val="20"/>
                <w:szCs w:val="20"/>
              </w:rPr>
              <w:t xml:space="preserve"> </w:t>
            </w:r>
            <w:r w:rsidRPr="007223C1">
              <w:rPr>
                <w:rFonts w:ascii="Verdana" w:hAnsi="Verdana"/>
                <w:sz w:val="20"/>
                <w:szCs w:val="20"/>
              </w:rPr>
              <w:t>%</w:t>
            </w:r>
          </w:p>
        </w:tc>
      </w:tr>
      <w:tr w:rsidR="00342880" w:rsidRPr="007223C1" w14:paraId="5496B727" w14:textId="77777777" w:rsidTr="00CB6666">
        <w:trPr>
          <w:jc w:val="center"/>
        </w:trPr>
        <w:tc>
          <w:tcPr>
            <w:tcW w:w="2353" w:type="dxa"/>
            <w:vMerge/>
          </w:tcPr>
          <w:p w14:paraId="21210A92" w14:textId="77777777" w:rsidR="00342880" w:rsidRPr="007223C1" w:rsidRDefault="00342880" w:rsidP="00CB6666">
            <w:pPr>
              <w:jc w:val="center"/>
              <w:rPr>
                <w:rFonts w:ascii="Verdana" w:hAnsi="Verdana"/>
                <w:sz w:val="20"/>
                <w:szCs w:val="20"/>
              </w:rPr>
            </w:pPr>
          </w:p>
        </w:tc>
        <w:tc>
          <w:tcPr>
            <w:tcW w:w="2595" w:type="dxa"/>
          </w:tcPr>
          <w:p w14:paraId="0B9F517E" w14:textId="77777777" w:rsidR="00342880" w:rsidRPr="007223C1" w:rsidRDefault="00342880" w:rsidP="00CB6666">
            <w:pPr>
              <w:jc w:val="center"/>
              <w:rPr>
                <w:rFonts w:ascii="Verdana" w:hAnsi="Verdana"/>
                <w:sz w:val="20"/>
                <w:szCs w:val="20"/>
              </w:rPr>
            </w:pPr>
            <w:r w:rsidRPr="007223C1">
              <w:rPr>
                <w:rFonts w:ascii="Verdana" w:hAnsi="Verdana"/>
                <w:sz w:val="20"/>
                <w:szCs w:val="20"/>
              </w:rPr>
              <w:t>HTA</w:t>
            </w:r>
          </w:p>
        </w:tc>
        <w:tc>
          <w:tcPr>
            <w:tcW w:w="3539" w:type="dxa"/>
            <w:gridSpan w:val="2"/>
          </w:tcPr>
          <w:p w14:paraId="7A060910" w14:textId="154F20EB" w:rsidR="00342880" w:rsidRPr="007223C1" w:rsidRDefault="00342880" w:rsidP="00CB6666">
            <w:pPr>
              <w:jc w:val="center"/>
              <w:rPr>
                <w:rFonts w:ascii="Verdana" w:hAnsi="Verdana"/>
                <w:sz w:val="20"/>
                <w:szCs w:val="20"/>
              </w:rPr>
            </w:pPr>
            <w:r w:rsidRPr="007223C1">
              <w:rPr>
                <w:rFonts w:ascii="Verdana" w:hAnsi="Verdana"/>
                <w:sz w:val="20"/>
                <w:szCs w:val="20"/>
              </w:rPr>
              <w:t>14                         35</w:t>
            </w:r>
            <w:r w:rsidR="00BC7BE4">
              <w:rPr>
                <w:rFonts w:ascii="Verdana" w:hAnsi="Verdana"/>
                <w:sz w:val="20"/>
                <w:szCs w:val="20"/>
              </w:rPr>
              <w:t xml:space="preserve"> </w:t>
            </w:r>
            <w:r w:rsidRPr="007223C1">
              <w:rPr>
                <w:rFonts w:ascii="Verdana" w:hAnsi="Verdana"/>
                <w:sz w:val="20"/>
                <w:szCs w:val="20"/>
              </w:rPr>
              <w:t>%</w:t>
            </w:r>
          </w:p>
        </w:tc>
      </w:tr>
      <w:tr w:rsidR="00342880" w:rsidRPr="007223C1" w14:paraId="45B92305" w14:textId="77777777" w:rsidTr="00CB6666">
        <w:trPr>
          <w:jc w:val="center"/>
        </w:trPr>
        <w:tc>
          <w:tcPr>
            <w:tcW w:w="2353" w:type="dxa"/>
            <w:vMerge/>
          </w:tcPr>
          <w:p w14:paraId="34FD3540" w14:textId="77777777" w:rsidR="00342880" w:rsidRPr="007223C1" w:rsidRDefault="00342880" w:rsidP="00CB6666">
            <w:pPr>
              <w:jc w:val="center"/>
              <w:rPr>
                <w:rFonts w:ascii="Verdana" w:hAnsi="Verdana"/>
                <w:sz w:val="20"/>
                <w:szCs w:val="20"/>
              </w:rPr>
            </w:pPr>
          </w:p>
        </w:tc>
        <w:tc>
          <w:tcPr>
            <w:tcW w:w="2595" w:type="dxa"/>
          </w:tcPr>
          <w:p w14:paraId="70F0A92B" w14:textId="77777777" w:rsidR="00342880" w:rsidRPr="007223C1" w:rsidRDefault="00342880" w:rsidP="00CB6666">
            <w:pPr>
              <w:jc w:val="center"/>
              <w:rPr>
                <w:rFonts w:ascii="Verdana" w:hAnsi="Verdana"/>
                <w:sz w:val="20"/>
                <w:szCs w:val="20"/>
              </w:rPr>
            </w:pPr>
            <w:proofErr w:type="spellStart"/>
            <w:r w:rsidRPr="007223C1">
              <w:rPr>
                <w:rFonts w:ascii="Verdana" w:hAnsi="Verdana"/>
                <w:sz w:val="20"/>
                <w:szCs w:val="20"/>
              </w:rPr>
              <w:t>Dislipidemia</w:t>
            </w:r>
            <w:proofErr w:type="spellEnd"/>
          </w:p>
        </w:tc>
        <w:tc>
          <w:tcPr>
            <w:tcW w:w="3539" w:type="dxa"/>
            <w:gridSpan w:val="2"/>
          </w:tcPr>
          <w:p w14:paraId="5B96DD6A" w14:textId="17AEA500" w:rsidR="00342880" w:rsidRPr="007223C1" w:rsidRDefault="00342880" w:rsidP="00CB6666">
            <w:pPr>
              <w:jc w:val="center"/>
              <w:rPr>
                <w:rFonts w:ascii="Verdana" w:hAnsi="Verdana"/>
                <w:sz w:val="20"/>
                <w:szCs w:val="20"/>
              </w:rPr>
            </w:pPr>
            <w:r w:rsidRPr="007223C1">
              <w:rPr>
                <w:rFonts w:ascii="Verdana" w:hAnsi="Verdana"/>
                <w:sz w:val="20"/>
                <w:szCs w:val="20"/>
              </w:rPr>
              <w:t>2                           5</w:t>
            </w:r>
            <w:r w:rsidR="00BC7BE4">
              <w:rPr>
                <w:rFonts w:ascii="Verdana" w:hAnsi="Verdana"/>
                <w:sz w:val="20"/>
                <w:szCs w:val="20"/>
              </w:rPr>
              <w:t xml:space="preserve"> </w:t>
            </w:r>
            <w:r w:rsidRPr="007223C1">
              <w:rPr>
                <w:rFonts w:ascii="Verdana" w:hAnsi="Verdana"/>
                <w:sz w:val="20"/>
                <w:szCs w:val="20"/>
              </w:rPr>
              <w:t>%</w:t>
            </w:r>
          </w:p>
        </w:tc>
      </w:tr>
      <w:tr w:rsidR="00342880" w:rsidRPr="007223C1" w14:paraId="6DF5A17A" w14:textId="77777777" w:rsidTr="00CB6666">
        <w:trPr>
          <w:jc w:val="center"/>
        </w:trPr>
        <w:tc>
          <w:tcPr>
            <w:tcW w:w="2353" w:type="dxa"/>
            <w:vMerge/>
          </w:tcPr>
          <w:p w14:paraId="6A8145CA" w14:textId="77777777" w:rsidR="00342880" w:rsidRPr="007223C1" w:rsidRDefault="00342880" w:rsidP="00CB6666">
            <w:pPr>
              <w:jc w:val="center"/>
              <w:rPr>
                <w:rFonts w:ascii="Verdana" w:hAnsi="Verdana"/>
                <w:sz w:val="20"/>
                <w:szCs w:val="20"/>
              </w:rPr>
            </w:pPr>
          </w:p>
        </w:tc>
        <w:tc>
          <w:tcPr>
            <w:tcW w:w="2595" w:type="dxa"/>
          </w:tcPr>
          <w:p w14:paraId="7C5F4174" w14:textId="77777777" w:rsidR="00342880" w:rsidRPr="007223C1" w:rsidRDefault="00342880" w:rsidP="00CB6666">
            <w:pPr>
              <w:jc w:val="center"/>
              <w:rPr>
                <w:rFonts w:ascii="Verdana" w:hAnsi="Verdana"/>
                <w:sz w:val="20"/>
                <w:szCs w:val="20"/>
              </w:rPr>
            </w:pPr>
            <w:r w:rsidRPr="007223C1">
              <w:rPr>
                <w:rFonts w:ascii="Verdana" w:hAnsi="Verdana"/>
                <w:sz w:val="20"/>
                <w:szCs w:val="20"/>
              </w:rPr>
              <w:t>DM</w:t>
            </w:r>
          </w:p>
        </w:tc>
        <w:tc>
          <w:tcPr>
            <w:tcW w:w="3539" w:type="dxa"/>
            <w:gridSpan w:val="2"/>
          </w:tcPr>
          <w:p w14:paraId="6D5EEEA2" w14:textId="44F3D09B" w:rsidR="00342880" w:rsidRPr="007223C1" w:rsidRDefault="00342880" w:rsidP="00BC7BE4">
            <w:pPr>
              <w:jc w:val="center"/>
              <w:rPr>
                <w:rFonts w:ascii="Verdana" w:hAnsi="Verdana"/>
                <w:sz w:val="20"/>
                <w:szCs w:val="20"/>
              </w:rPr>
            </w:pPr>
            <w:r w:rsidRPr="007223C1">
              <w:rPr>
                <w:rFonts w:ascii="Verdana" w:hAnsi="Verdana"/>
                <w:sz w:val="20"/>
                <w:szCs w:val="20"/>
              </w:rPr>
              <w:t>3                         7</w:t>
            </w:r>
            <w:r w:rsidR="00BC7BE4">
              <w:rPr>
                <w:rFonts w:ascii="Verdana" w:hAnsi="Verdana"/>
                <w:sz w:val="20"/>
                <w:szCs w:val="20"/>
              </w:rPr>
              <w:t>,</w:t>
            </w:r>
            <w:r w:rsidRPr="007223C1">
              <w:rPr>
                <w:rFonts w:ascii="Verdana" w:hAnsi="Verdana"/>
                <w:sz w:val="20"/>
                <w:szCs w:val="20"/>
              </w:rPr>
              <w:t>5</w:t>
            </w:r>
            <w:r w:rsidR="00BC7BE4">
              <w:rPr>
                <w:rFonts w:ascii="Verdana" w:hAnsi="Verdana"/>
                <w:sz w:val="20"/>
                <w:szCs w:val="20"/>
              </w:rPr>
              <w:t xml:space="preserve"> </w:t>
            </w:r>
            <w:r w:rsidRPr="007223C1">
              <w:rPr>
                <w:rFonts w:ascii="Verdana" w:hAnsi="Verdana"/>
                <w:sz w:val="20"/>
                <w:szCs w:val="20"/>
              </w:rPr>
              <w:t>%</w:t>
            </w:r>
          </w:p>
        </w:tc>
      </w:tr>
      <w:tr w:rsidR="00342880" w:rsidRPr="007223C1" w14:paraId="2821826F" w14:textId="77777777" w:rsidTr="00CB6666">
        <w:trPr>
          <w:jc w:val="center"/>
        </w:trPr>
        <w:tc>
          <w:tcPr>
            <w:tcW w:w="2353" w:type="dxa"/>
            <w:vMerge/>
          </w:tcPr>
          <w:p w14:paraId="0340C36E" w14:textId="77777777" w:rsidR="00342880" w:rsidRPr="007223C1" w:rsidRDefault="00342880" w:rsidP="00CB6666">
            <w:pPr>
              <w:jc w:val="center"/>
              <w:rPr>
                <w:rFonts w:ascii="Verdana" w:hAnsi="Verdana"/>
                <w:sz w:val="20"/>
                <w:szCs w:val="20"/>
              </w:rPr>
            </w:pPr>
          </w:p>
        </w:tc>
        <w:tc>
          <w:tcPr>
            <w:tcW w:w="2595" w:type="dxa"/>
          </w:tcPr>
          <w:p w14:paraId="6695FB0C" w14:textId="77777777" w:rsidR="00342880" w:rsidRPr="007223C1" w:rsidRDefault="00342880" w:rsidP="00CB6666">
            <w:pPr>
              <w:jc w:val="center"/>
              <w:rPr>
                <w:rFonts w:ascii="Verdana" w:hAnsi="Verdana"/>
                <w:sz w:val="20"/>
                <w:szCs w:val="20"/>
              </w:rPr>
            </w:pPr>
            <w:proofErr w:type="spellStart"/>
            <w:r w:rsidRPr="007223C1">
              <w:rPr>
                <w:rFonts w:ascii="Verdana" w:hAnsi="Verdana"/>
                <w:sz w:val="20"/>
                <w:szCs w:val="20"/>
              </w:rPr>
              <w:t>Artrosis</w:t>
            </w:r>
            <w:proofErr w:type="spellEnd"/>
          </w:p>
        </w:tc>
        <w:tc>
          <w:tcPr>
            <w:tcW w:w="3539" w:type="dxa"/>
            <w:gridSpan w:val="2"/>
          </w:tcPr>
          <w:p w14:paraId="22CCDC05" w14:textId="14FC473C" w:rsidR="00342880" w:rsidRPr="007223C1" w:rsidRDefault="00342880" w:rsidP="00BC7BE4">
            <w:pPr>
              <w:jc w:val="center"/>
              <w:rPr>
                <w:rFonts w:ascii="Verdana" w:hAnsi="Verdana"/>
                <w:sz w:val="20"/>
                <w:szCs w:val="20"/>
              </w:rPr>
            </w:pPr>
            <w:r w:rsidRPr="007223C1">
              <w:rPr>
                <w:rFonts w:ascii="Verdana" w:hAnsi="Verdana"/>
                <w:sz w:val="20"/>
                <w:szCs w:val="20"/>
              </w:rPr>
              <w:t>1                         2</w:t>
            </w:r>
            <w:r w:rsidR="00BC7BE4">
              <w:rPr>
                <w:rFonts w:ascii="Verdana" w:hAnsi="Verdana"/>
                <w:sz w:val="20"/>
                <w:szCs w:val="20"/>
              </w:rPr>
              <w:t>,</w:t>
            </w:r>
            <w:r w:rsidRPr="007223C1">
              <w:rPr>
                <w:rFonts w:ascii="Verdana" w:hAnsi="Verdana"/>
                <w:sz w:val="20"/>
                <w:szCs w:val="20"/>
              </w:rPr>
              <w:t>5</w:t>
            </w:r>
            <w:r w:rsidR="00BC7BE4">
              <w:rPr>
                <w:rFonts w:ascii="Verdana" w:hAnsi="Verdana"/>
                <w:sz w:val="20"/>
                <w:szCs w:val="20"/>
              </w:rPr>
              <w:t xml:space="preserve"> </w:t>
            </w:r>
            <w:r w:rsidRPr="007223C1">
              <w:rPr>
                <w:rFonts w:ascii="Verdana" w:hAnsi="Verdana"/>
                <w:sz w:val="20"/>
                <w:szCs w:val="20"/>
              </w:rPr>
              <w:t>%</w:t>
            </w:r>
          </w:p>
        </w:tc>
      </w:tr>
    </w:tbl>
    <w:p w14:paraId="14ACEB31" w14:textId="77777777" w:rsidR="00F25D55" w:rsidRDefault="00342880" w:rsidP="00CB6666">
      <w:pPr>
        <w:widowControl/>
        <w:shd w:val="clear" w:color="auto" w:fill="FFFFFF"/>
        <w:jc w:val="center"/>
        <w:textAlignment w:val="baseline"/>
        <w:rPr>
          <w:rFonts w:ascii="Verdana" w:hAnsi="Verdana"/>
          <w:sz w:val="20"/>
          <w:szCs w:val="20"/>
          <w:lang w:val="es-CO"/>
        </w:rPr>
      </w:pPr>
      <w:r w:rsidRPr="007223C1">
        <w:rPr>
          <w:rFonts w:ascii="Verdana" w:hAnsi="Verdana"/>
          <w:sz w:val="20"/>
          <w:szCs w:val="20"/>
          <w:lang w:val="es-CO"/>
        </w:rPr>
        <w:t xml:space="preserve">EPOC: Enfermedad Pulmonar Obstructiva Crónica. </w:t>
      </w:r>
    </w:p>
    <w:p w14:paraId="23EEE6DB" w14:textId="77777777" w:rsidR="00F25D55" w:rsidRDefault="00342880" w:rsidP="00CB6666">
      <w:pPr>
        <w:widowControl/>
        <w:shd w:val="clear" w:color="auto" w:fill="FFFFFF"/>
        <w:jc w:val="center"/>
        <w:textAlignment w:val="baseline"/>
        <w:rPr>
          <w:rFonts w:ascii="Verdana" w:hAnsi="Verdana"/>
          <w:sz w:val="20"/>
          <w:szCs w:val="20"/>
          <w:lang w:val="es-CO"/>
        </w:rPr>
      </w:pPr>
      <w:r w:rsidRPr="007223C1">
        <w:rPr>
          <w:rFonts w:ascii="Verdana" w:hAnsi="Verdana"/>
          <w:sz w:val="20"/>
          <w:szCs w:val="20"/>
          <w:lang w:val="es-CO"/>
        </w:rPr>
        <w:t xml:space="preserve">HTA: Hipertensión Arterial. </w:t>
      </w:r>
    </w:p>
    <w:p w14:paraId="2895B544" w14:textId="48C7615C" w:rsidR="00342880" w:rsidRDefault="00342880" w:rsidP="00CB6666">
      <w:pPr>
        <w:widowControl/>
        <w:shd w:val="clear" w:color="auto" w:fill="FFFFFF"/>
        <w:jc w:val="center"/>
        <w:textAlignment w:val="baseline"/>
        <w:rPr>
          <w:rFonts w:ascii="Verdana" w:hAnsi="Verdana"/>
          <w:sz w:val="20"/>
          <w:szCs w:val="20"/>
          <w:lang w:val="es-CO"/>
        </w:rPr>
      </w:pPr>
      <w:r w:rsidRPr="007223C1">
        <w:rPr>
          <w:rFonts w:ascii="Verdana" w:hAnsi="Verdana"/>
          <w:sz w:val="20"/>
          <w:szCs w:val="20"/>
          <w:lang w:val="es-CO"/>
        </w:rPr>
        <w:t>DM: Diabetes Mellitus.</w:t>
      </w:r>
    </w:p>
    <w:p w14:paraId="60C64ABD" w14:textId="1F1B30A2" w:rsidR="00CB6666" w:rsidRPr="007223C1" w:rsidRDefault="00CB6666" w:rsidP="00CB6666">
      <w:pPr>
        <w:widowControl/>
        <w:shd w:val="clear" w:color="auto" w:fill="FFFFFF"/>
        <w:jc w:val="center"/>
        <w:textAlignment w:val="baseline"/>
        <w:rPr>
          <w:rFonts w:ascii="Verdana" w:hAnsi="Verdana"/>
          <w:sz w:val="20"/>
          <w:szCs w:val="20"/>
          <w:lang w:val="es-CO"/>
        </w:rPr>
      </w:pPr>
      <w:r w:rsidRPr="00CB6666">
        <w:rPr>
          <w:rFonts w:ascii="Verdana" w:hAnsi="Verdana"/>
          <w:sz w:val="20"/>
          <w:szCs w:val="20"/>
          <w:lang w:val="es-CO"/>
        </w:rPr>
        <w:t>n=</w:t>
      </w:r>
      <w:r w:rsidR="00F25D55">
        <w:rPr>
          <w:rFonts w:ascii="Verdana" w:hAnsi="Verdana"/>
          <w:sz w:val="20"/>
          <w:szCs w:val="20"/>
          <w:lang w:val="es-CO"/>
        </w:rPr>
        <w:t xml:space="preserve"> </w:t>
      </w:r>
      <w:r w:rsidRPr="00CB6666">
        <w:rPr>
          <w:rFonts w:ascii="Verdana" w:hAnsi="Verdana"/>
          <w:sz w:val="20"/>
          <w:szCs w:val="20"/>
          <w:lang w:val="es-CO"/>
        </w:rPr>
        <w:t>40</w:t>
      </w:r>
      <w:r>
        <w:rPr>
          <w:rFonts w:ascii="Verdana" w:hAnsi="Verdana"/>
          <w:sz w:val="20"/>
          <w:szCs w:val="20"/>
          <w:lang w:val="es-CO"/>
        </w:rPr>
        <w:t xml:space="preserve">. </w:t>
      </w:r>
    </w:p>
    <w:p w14:paraId="15460641" w14:textId="3A6AA469" w:rsidR="007E6E55" w:rsidRDefault="007E6E55" w:rsidP="007223C1">
      <w:pPr>
        <w:widowControl/>
        <w:shd w:val="clear" w:color="auto" w:fill="FFFFFF"/>
        <w:spacing w:line="360" w:lineRule="auto"/>
        <w:jc w:val="both"/>
        <w:textAlignment w:val="baseline"/>
        <w:rPr>
          <w:rFonts w:ascii="Verdana" w:hAnsi="Verdana"/>
          <w:sz w:val="20"/>
          <w:szCs w:val="20"/>
          <w:lang w:val="es-CO"/>
        </w:rPr>
      </w:pPr>
    </w:p>
    <w:p w14:paraId="26A21850" w14:textId="332FF46E"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 xml:space="preserve">En la tabla 2, se observa una </w:t>
      </w:r>
      <w:r w:rsidRPr="007223C1">
        <w:rPr>
          <w:rFonts w:ascii="Verdana" w:hAnsi="Verdana"/>
          <w:color w:val="auto"/>
          <w:sz w:val="20"/>
          <w:szCs w:val="20"/>
          <w:lang w:val="es-CO"/>
        </w:rPr>
        <w:t>media</w:t>
      </w:r>
      <w:r w:rsidRPr="007223C1">
        <w:rPr>
          <w:rFonts w:ascii="Verdana" w:hAnsi="Verdana"/>
          <w:color w:val="FF0000"/>
          <w:sz w:val="20"/>
          <w:szCs w:val="20"/>
          <w:lang w:val="es-CO"/>
        </w:rPr>
        <w:t xml:space="preserve"> </w:t>
      </w:r>
      <w:r w:rsidRPr="007223C1">
        <w:rPr>
          <w:rFonts w:ascii="Verdana" w:hAnsi="Verdana"/>
          <w:sz w:val="20"/>
          <w:szCs w:val="20"/>
          <w:lang w:val="es-CO"/>
        </w:rPr>
        <w:t>de flexibilidad de -5</w:t>
      </w:r>
      <w:r w:rsidR="00DA5086">
        <w:rPr>
          <w:rFonts w:ascii="Verdana" w:hAnsi="Verdana"/>
          <w:sz w:val="20"/>
          <w:szCs w:val="20"/>
          <w:lang w:val="es-CO"/>
        </w:rPr>
        <w:t>,</w:t>
      </w:r>
      <w:r w:rsidRPr="007223C1">
        <w:rPr>
          <w:rFonts w:ascii="Verdana" w:hAnsi="Verdana"/>
          <w:sz w:val="20"/>
          <w:szCs w:val="20"/>
          <w:lang w:val="es-CO"/>
        </w:rPr>
        <w:t>35</w:t>
      </w:r>
      <w:r w:rsidR="00E73C13">
        <w:rPr>
          <w:rFonts w:ascii="Verdana" w:hAnsi="Verdana"/>
          <w:sz w:val="20"/>
          <w:szCs w:val="20"/>
          <w:lang w:val="es-CO"/>
        </w:rPr>
        <w:t xml:space="preserve"> </w:t>
      </w:r>
      <w:r w:rsidRPr="007223C1">
        <w:rPr>
          <w:rFonts w:ascii="Verdana" w:hAnsi="Verdana"/>
          <w:sz w:val="20"/>
          <w:szCs w:val="20"/>
          <w:lang w:val="es-CO"/>
        </w:rPr>
        <w:t>±</w:t>
      </w:r>
      <w:r w:rsidR="00E73C13">
        <w:rPr>
          <w:rFonts w:ascii="Verdana" w:hAnsi="Verdana"/>
          <w:sz w:val="20"/>
          <w:szCs w:val="20"/>
          <w:lang w:val="es-CO"/>
        </w:rPr>
        <w:t xml:space="preserve"> </w:t>
      </w:r>
      <w:r w:rsidRPr="007223C1">
        <w:rPr>
          <w:rFonts w:ascii="Verdana" w:hAnsi="Verdana"/>
          <w:sz w:val="20"/>
          <w:szCs w:val="20"/>
          <w:lang w:val="es-CO"/>
        </w:rPr>
        <w:t>5</w:t>
      </w:r>
      <w:r w:rsidR="00DA5086">
        <w:rPr>
          <w:rFonts w:ascii="Verdana" w:hAnsi="Verdana"/>
          <w:sz w:val="20"/>
          <w:szCs w:val="20"/>
          <w:lang w:val="es-CO"/>
        </w:rPr>
        <w:t>,</w:t>
      </w:r>
      <w:r w:rsidRPr="007223C1">
        <w:rPr>
          <w:rFonts w:ascii="Verdana" w:hAnsi="Verdana"/>
          <w:sz w:val="20"/>
          <w:szCs w:val="20"/>
          <w:lang w:val="es-CO"/>
        </w:rPr>
        <w:t>3 cm en miembros inferiores y de -8,9</w:t>
      </w:r>
      <w:r w:rsidR="00214F3F">
        <w:rPr>
          <w:rFonts w:ascii="Verdana" w:hAnsi="Verdana"/>
          <w:sz w:val="20"/>
          <w:szCs w:val="20"/>
          <w:lang w:val="es-CO"/>
        </w:rPr>
        <w:t xml:space="preserve"> </w:t>
      </w:r>
      <w:r w:rsidRPr="007223C1">
        <w:rPr>
          <w:rFonts w:ascii="Verdana" w:hAnsi="Verdana"/>
          <w:sz w:val="20"/>
          <w:szCs w:val="20"/>
          <w:lang w:val="es-CO"/>
        </w:rPr>
        <w:t>±</w:t>
      </w:r>
      <w:r w:rsidR="00214F3F">
        <w:rPr>
          <w:rFonts w:ascii="Verdana" w:hAnsi="Verdana"/>
          <w:sz w:val="20"/>
          <w:szCs w:val="20"/>
          <w:lang w:val="es-CO"/>
        </w:rPr>
        <w:t xml:space="preserve"> </w:t>
      </w:r>
      <w:r w:rsidRPr="007223C1">
        <w:rPr>
          <w:rFonts w:ascii="Verdana" w:hAnsi="Verdana"/>
          <w:sz w:val="20"/>
          <w:szCs w:val="20"/>
          <w:lang w:val="es-CO"/>
        </w:rPr>
        <w:t>5</w:t>
      </w:r>
      <w:r w:rsidR="00DA5086">
        <w:rPr>
          <w:rFonts w:ascii="Verdana" w:hAnsi="Verdana"/>
          <w:sz w:val="20"/>
          <w:szCs w:val="20"/>
          <w:lang w:val="es-CO"/>
        </w:rPr>
        <w:t>,</w:t>
      </w:r>
      <w:r w:rsidRPr="007223C1">
        <w:rPr>
          <w:rFonts w:ascii="Verdana" w:hAnsi="Verdana"/>
          <w:sz w:val="20"/>
          <w:szCs w:val="20"/>
          <w:lang w:val="es-CO"/>
        </w:rPr>
        <w:t>3 cm en miembros superiores. En cuanto a la fuerza de miembros superiores se observa una media de 22</w:t>
      </w:r>
      <w:r w:rsidR="00DA5086">
        <w:rPr>
          <w:rFonts w:ascii="Verdana" w:hAnsi="Verdana"/>
          <w:sz w:val="20"/>
          <w:szCs w:val="20"/>
          <w:lang w:val="es-CO"/>
        </w:rPr>
        <w:t>,</w:t>
      </w:r>
      <w:r w:rsidRPr="007223C1">
        <w:rPr>
          <w:rFonts w:ascii="Verdana" w:hAnsi="Verdana"/>
          <w:sz w:val="20"/>
          <w:szCs w:val="20"/>
          <w:lang w:val="es-CO"/>
        </w:rPr>
        <w:t>8 ±3</w:t>
      </w:r>
      <w:r w:rsidR="00DA5086">
        <w:rPr>
          <w:rFonts w:ascii="Verdana" w:hAnsi="Verdana"/>
          <w:sz w:val="20"/>
          <w:szCs w:val="20"/>
          <w:lang w:val="es-CO"/>
        </w:rPr>
        <w:t>,</w:t>
      </w:r>
      <w:r w:rsidRPr="007223C1">
        <w:rPr>
          <w:rFonts w:ascii="Verdana" w:hAnsi="Verdana"/>
          <w:sz w:val="20"/>
          <w:szCs w:val="20"/>
          <w:lang w:val="es-CO"/>
        </w:rPr>
        <w:t>6 repeticiones y una mediana de 12 repeticiones para tren inferior.  La agilidad muestra una mediana de 4</w:t>
      </w:r>
      <w:r w:rsidR="00DA5086">
        <w:rPr>
          <w:rFonts w:ascii="Verdana" w:hAnsi="Verdana"/>
          <w:sz w:val="20"/>
          <w:szCs w:val="20"/>
          <w:lang w:val="es-CO"/>
        </w:rPr>
        <w:t>,</w:t>
      </w:r>
      <w:r w:rsidRPr="007223C1">
        <w:rPr>
          <w:rFonts w:ascii="Verdana" w:hAnsi="Verdana"/>
          <w:sz w:val="20"/>
          <w:szCs w:val="20"/>
          <w:lang w:val="es-CO"/>
        </w:rPr>
        <w:t>8 segundos, la resistencia aeróbica una media de 40</w:t>
      </w:r>
      <w:r w:rsidR="00214F3F">
        <w:rPr>
          <w:rFonts w:ascii="Verdana" w:hAnsi="Verdana"/>
          <w:sz w:val="20"/>
          <w:szCs w:val="20"/>
          <w:lang w:val="es-CO"/>
        </w:rPr>
        <w:t xml:space="preserve"> </w:t>
      </w:r>
      <w:r w:rsidRPr="007223C1">
        <w:rPr>
          <w:rFonts w:ascii="Verdana" w:hAnsi="Verdana"/>
          <w:sz w:val="20"/>
          <w:szCs w:val="20"/>
          <w:lang w:val="es-CO"/>
        </w:rPr>
        <w:t>±</w:t>
      </w:r>
      <w:r w:rsidR="00214F3F">
        <w:rPr>
          <w:rFonts w:ascii="Verdana" w:hAnsi="Verdana"/>
          <w:sz w:val="20"/>
          <w:szCs w:val="20"/>
          <w:lang w:val="es-CO"/>
        </w:rPr>
        <w:t xml:space="preserve"> </w:t>
      </w:r>
      <w:r w:rsidRPr="007223C1">
        <w:rPr>
          <w:rFonts w:ascii="Verdana" w:hAnsi="Verdana"/>
          <w:sz w:val="20"/>
          <w:szCs w:val="20"/>
          <w:lang w:val="es-CO"/>
        </w:rPr>
        <w:t>92</w:t>
      </w:r>
      <w:r w:rsidR="00DA5086">
        <w:rPr>
          <w:rFonts w:ascii="Verdana" w:hAnsi="Verdana"/>
          <w:sz w:val="20"/>
          <w:szCs w:val="20"/>
          <w:lang w:val="es-CO"/>
        </w:rPr>
        <w:t>,</w:t>
      </w:r>
      <w:r w:rsidRPr="007223C1">
        <w:rPr>
          <w:rFonts w:ascii="Verdana" w:hAnsi="Verdana"/>
          <w:sz w:val="20"/>
          <w:szCs w:val="20"/>
          <w:lang w:val="es-CO"/>
        </w:rPr>
        <w:t>7 elevaciones y el riesgo de caídas una mediana de 21 puntos.</w:t>
      </w:r>
    </w:p>
    <w:p w14:paraId="70C8B64D" w14:textId="77777777" w:rsidR="00436316" w:rsidRPr="007223C1" w:rsidRDefault="00436316" w:rsidP="00436316">
      <w:pPr>
        <w:spacing w:line="360" w:lineRule="auto"/>
        <w:jc w:val="center"/>
        <w:rPr>
          <w:rFonts w:ascii="Verdana" w:hAnsi="Verdana"/>
          <w:b/>
          <w:sz w:val="20"/>
          <w:szCs w:val="20"/>
          <w:lang w:val="es-CO"/>
        </w:rPr>
      </w:pPr>
    </w:p>
    <w:p w14:paraId="5F06ACF8" w14:textId="5C45C91B" w:rsidR="00436316" w:rsidRDefault="00436316" w:rsidP="00436316">
      <w:pPr>
        <w:spacing w:line="360" w:lineRule="auto"/>
        <w:jc w:val="center"/>
        <w:rPr>
          <w:rFonts w:ascii="Verdana" w:hAnsi="Verdana"/>
          <w:b/>
          <w:sz w:val="20"/>
          <w:szCs w:val="20"/>
          <w:lang w:val="es-CO"/>
        </w:rPr>
      </w:pPr>
    </w:p>
    <w:p w14:paraId="7C40FC41" w14:textId="77777777" w:rsidR="00436316" w:rsidRPr="007223C1" w:rsidRDefault="00436316" w:rsidP="00436316">
      <w:pPr>
        <w:spacing w:line="360" w:lineRule="auto"/>
        <w:jc w:val="center"/>
        <w:rPr>
          <w:rFonts w:ascii="Verdana" w:hAnsi="Verdana"/>
          <w:b/>
          <w:sz w:val="20"/>
          <w:szCs w:val="20"/>
          <w:lang w:val="es-CO"/>
        </w:rPr>
      </w:pPr>
    </w:p>
    <w:p w14:paraId="1E268FD2" w14:textId="641A3595" w:rsidR="00436316" w:rsidRPr="00404049" w:rsidRDefault="00436316" w:rsidP="00436316">
      <w:pPr>
        <w:spacing w:line="360" w:lineRule="auto"/>
        <w:jc w:val="center"/>
        <w:rPr>
          <w:rFonts w:ascii="Verdana" w:hAnsi="Verdana"/>
          <w:sz w:val="20"/>
          <w:szCs w:val="20"/>
          <w:lang w:val="es-CO"/>
        </w:rPr>
      </w:pPr>
      <w:r w:rsidRPr="007223C1">
        <w:rPr>
          <w:rFonts w:ascii="Verdana" w:hAnsi="Verdana"/>
          <w:b/>
          <w:sz w:val="20"/>
          <w:szCs w:val="20"/>
          <w:lang w:val="es-CO"/>
        </w:rPr>
        <w:t xml:space="preserve">Tabla 2. </w:t>
      </w:r>
      <w:r w:rsidRPr="00404049">
        <w:rPr>
          <w:rFonts w:ascii="Verdana" w:hAnsi="Verdana"/>
          <w:sz w:val="20"/>
          <w:szCs w:val="20"/>
          <w:lang w:val="es-CO"/>
        </w:rPr>
        <w:t>Características generales de CFF y riesgo de caídas</w:t>
      </w:r>
    </w:p>
    <w:p w14:paraId="5C868B97" w14:textId="77777777" w:rsidR="00436316" w:rsidRPr="00B57E75" w:rsidRDefault="00436316" w:rsidP="00BB2C7C">
      <w:pPr>
        <w:jc w:val="center"/>
        <w:rPr>
          <w:rFonts w:ascii="Verdana" w:hAnsi="Verdana"/>
          <w:sz w:val="20"/>
          <w:szCs w:val="20"/>
          <w:lang w:val="es-CO"/>
        </w:rPr>
      </w:pPr>
    </w:p>
    <w:tbl>
      <w:tblPr>
        <w:tblStyle w:val="Estilo1"/>
        <w:tblW w:w="8364" w:type="dxa"/>
        <w:jc w:val="center"/>
        <w:tblLayout w:type="fixed"/>
        <w:tblLook w:val="04A0" w:firstRow="1" w:lastRow="0" w:firstColumn="1" w:lastColumn="0" w:noHBand="0" w:noVBand="1"/>
      </w:tblPr>
      <w:tblGrid>
        <w:gridCol w:w="2564"/>
        <w:gridCol w:w="140"/>
        <w:gridCol w:w="2586"/>
        <w:gridCol w:w="72"/>
        <w:gridCol w:w="3002"/>
      </w:tblGrid>
      <w:tr w:rsidR="00436316" w:rsidRPr="007223C1" w14:paraId="15CE440D" w14:textId="77777777" w:rsidTr="00626542">
        <w:trPr>
          <w:cnfStyle w:val="100000000000" w:firstRow="1" w:lastRow="0" w:firstColumn="0" w:lastColumn="0" w:oddVBand="0" w:evenVBand="0" w:oddHBand="0" w:evenHBand="0" w:firstRowFirstColumn="0" w:firstRowLastColumn="0" w:lastRowFirstColumn="0" w:lastRowLastColumn="0"/>
          <w:trHeight w:val="20"/>
          <w:jc w:val="center"/>
        </w:trPr>
        <w:tc>
          <w:tcPr>
            <w:tcW w:w="2694" w:type="dxa"/>
            <w:gridSpan w:val="2"/>
          </w:tcPr>
          <w:p w14:paraId="48682A14" w14:textId="77777777" w:rsidR="00436316" w:rsidRPr="00B57E75" w:rsidRDefault="00436316" w:rsidP="00B57E75">
            <w:pPr>
              <w:rPr>
                <w:rFonts w:ascii="Verdana" w:hAnsi="Verdana"/>
                <w:sz w:val="20"/>
                <w:szCs w:val="20"/>
                <w:lang w:val="es-CO"/>
              </w:rPr>
            </w:pPr>
            <w:r w:rsidRPr="00B57E75">
              <w:rPr>
                <w:rFonts w:ascii="Verdana" w:hAnsi="Verdana"/>
                <w:sz w:val="20"/>
                <w:szCs w:val="20"/>
                <w:lang w:val="es-CO"/>
              </w:rPr>
              <w:t>Variable</w:t>
            </w:r>
          </w:p>
        </w:tc>
        <w:tc>
          <w:tcPr>
            <w:tcW w:w="2596" w:type="dxa"/>
          </w:tcPr>
          <w:p w14:paraId="5F232358" w14:textId="77777777" w:rsidR="00436316" w:rsidRPr="00B57E75" w:rsidRDefault="00436316" w:rsidP="00BB2C7C">
            <w:pPr>
              <w:jc w:val="center"/>
              <w:rPr>
                <w:rFonts w:ascii="Verdana" w:hAnsi="Verdana"/>
                <w:sz w:val="20"/>
                <w:szCs w:val="20"/>
                <w:lang w:val="es-CO"/>
              </w:rPr>
            </w:pPr>
            <w:r w:rsidRPr="00B57E75">
              <w:rPr>
                <w:rFonts w:ascii="Verdana" w:hAnsi="Verdana"/>
                <w:sz w:val="20"/>
                <w:szCs w:val="20"/>
                <w:lang w:val="es-CO"/>
              </w:rPr>
              <w:t>Protocolo</w:t>
            </w:r>
          </w:p>
        </w:tc>
        <w:tc>
          <w:tcPr>
            <w:tcW w:w="3074" w:type="dxa"/>
            <w:gridSpan w:val="2"/>
          </w:tcPr>
          <w:p w14:paraId="620FDE41" w14:textId="77777777" w:rsidR="00436316" w:rsidRPr="00B57E75" w:rsidRDefault="00436316" w:rsidP="00BB2C7C">
            <w:pPr>
              <w:jc w:val="center"/>
              <w:rPr>
                <w:rFonts w:ascii="Verdana" w:hAnsi="Verdana"/>
                <w:sz w:val="20"/>
                <w:szCs w:val="20"/>
              </w:rPr>
            </w:pPr>
            <w:r w:rsidRPr="00B57E75">
              <w:rPr>
                <w:rFonts w:ascii="Verdana" w:hAnsi="Verdana"/>
                <w:sz w:val="20"/>
                <w:szCs w:val="20"/>
              </w:rPr>
              <w:t>Med (D.E)\</w:t>
            </w:r>
            <w:proofErr w:type="spellStart"/>
            <w:r w:rsidRPr="00B57E75">
              <w:rPr>
                <w:rFonts w:ascii="Verdana" w:hAnsi="Verdana"/>
                <w:sz w:val="20"/>
                <w:szCs w:val="20"/>
              </w:rPr>
              <w:t>Mdn</w:t>
            </w:r>
            <w:proofErr w:type="spellEnd"/>
            <w:r w:rsidRPr="00B57E75">
              <w:rPr>
                <w:rFonts w:ascii="Verdana" w:hAnsi="Verdana"/>
                <w:sz w:val="20"/>
                <w:szCs w:val="20"/>
              </w:rPr>
              <w:t xml:space="preserve"> (RIC)</w:t>
            </w:r>
          </w:p>
        </w:tc>
      </w:tr>
      <w:tr w:rsidR="00436316" w:rsidRPr="007223C1" w14:paraId="0B4B5652" w14:textId="77777777" w:rsidTr="00626542">
        <w:trPr>
          <w:trHeight w:val="20"/>
          <w:jc w:val="center"/>
        </w:trPr>
        <w:tc>
          <w:tcPr>
            <w:tcW w:w="2694" w:type="dxa"/>
            <w:gridSpan w:val="2"/>
          </w:tcPr>
          <w:p w14:paraId="2515516F" w14:textId="77777777" w:rsidR="00436316" w:rsidRPr="007223C1" w:rsidRDefault="00436316" w:rsidP="00B57E75">
            <w:pPr>
              <w:rPr>
                <w:rFonts w:ascii="Verdana" w:hAnsi="Verdana"/>
                <w:sz w:val="20"/>
                <w:szCs w:val="20"/>
                <w:lang w:val="es-CO"/>
              </w:rPr>
            </w:pPr>
            <w:r w:rsidRPr="007223C1">
              <w:rPr>
                <w:rFonts w:ascii="Verdana" w:hAnsi="Verdana"/>
                <w:sz w:val="20"/>
                <w:szCs w:val="20"/>
                <w:lang w:val="es-CO"/>
              </w:rPr>
              <w:t>Flexibilidad (cm)</w:t>
            </w:r>
          </w:p>
        </w:tc>
        <w:tc>
          <w:tcPr>
            <w:tcW w:w="2596" w:type="dxa"/>
          </w:tcPr>
          <w:p w14:paraId="3DE1D755" w14:textId="77777777" w:rsidR="00436316" w:rsidRPr="007223C1" w:rsidRDefault="00436316" w:rsidP="00BB2C7C">
            <w:pPr>
              <w:jc w:val="center"/>
              <w:rPr>
                <w:rFonts w:ascii="Verdana" w:hAnsi="Verdana"/>
                <w:sz w:val="20"/>
                <w:szCs w:val="20"/>
              </w:rPr>
            </w:pPr>
            <w:r w:rsidRPr="007223C1">
              <w:rPr>
                <w:rFonts w:ascii="Verdana" w:hAnsi="Verdana"/>
                <w:sz w:val="20"/>
                <w:szCs w:val="20"/>
              </w:rPr>
              <w:t>Sit and Reach</w:t>
            </w:r>
          </w:p>
          <w:p w14:paraId="1C0EA0B6" w14:textId="77777777" w:rsidR="00436316" w:rsidRPr="007223C1" w:rsidRDefault="00436316" w:rsidP="00BB2C7C">
            <w:pPr>
              <w:jc w:val="center"/>
              <w:rPr>
                <w:rFonts w:ascii="Verdana" w:hAnsi="Verdana"/>
                <w:sz w:val="20"/>
                <w:szCs w:val="20"/>
              </w:rPr>
            </w:pPr>
            <w:r w:rsidRPr="007223C1">
              <w:rPr>
                <w:rFonts w:ascii="Verdana" w:hAnsi="Verdana"/>
                <w:sz w:val="20"/>
                <w:szCs w:val="20"/>
              </w:rPr>
              <w:t>Back Scratch Test</w:t>
            </w:r>
          </w:p>
        </w:tc>
        <w:tc>
          <w:tcPr>
            <w:tcW w:w="3074" w:type="dxa"/>
            <w:gridSpan w:val="2"/>
          </w:tcPr>
          <w:p w14:paraId="78382EDF" w14:textId="05110898"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-5</w:t>
            </w:r>
            <w:r w:rsidR="00746A85">
              <w:rPr>
                <w:rFonts w:ascii="Verdana" w:hAnsi="Verdana"/>
                <w:sz w:val="20"/>
                <w:szCs w:val="20"/>
                <w:lang w:val="es-CO"/>
              </w:rPr>
              <w:t>,</w:t>
            </w:r>
            <w:r w:rsidRPr="007223C1">
              <w:rPr>
                <w:rFonts w:ascii="Verdana" w:hAnsi="Verdana"/>
                <w:sz w:val="20"/>
                <w:szCs w:val="20"/>
                <w:lang w:val="es-CO"/>
              </w:rPr>
              <w:t>35 ±7</w:t>
            </w:r>
            <w:r w:rsidR="00746A85">
              <w:rPr>
                <w:rFonts w:ascii="Verdana" w:hAnsi="Verdana"/>
                <w:sz w:val="20"/>
                <w:szCs w:val="20"/>
                <w:lang w:val="es-CO"/>
              </w:rPr>
              <w:t>,</w:t>
            </w:r>
            <w:r w:rsidRPr="007223C1">
              <w:rPr>
                <w:rFonts w:ascii="Verdana" w:hAnsi="Verdana"/>
                <w:sz w:val="20"/>
                <w:szCs w:val="20"/>
                <w:lang w:val="es-CO"/>
              </w:rPr>
              <w:t>13</w:t>
            </w:r>
          </w:p>
          <w:p w14:paraId="1E6B092A" w14:textId="1B9D8A97" w:rsidR="00436316" w:rsidRPr="007223C1" w:rsidRDefault="00436316" w:rsidP="00746A85">
            <w:pPr>
              <w:jc w:val="center"/>
              <w:rPr>
                <w:rFonts w:ascii="Verdana" w:hAnsi="Verdana"/>
                <w:sz w:val="20"/>
                <w:szCs w:val="20"/>
                <w:lang w:val="es-CO"/>
              </w:rPr>
            </w:pPr>
            <w:r w:rsidRPr="007223C1">
              <w:rPr>
                <w:rFonts w:ascii="Verdana" w:hAnsi="Verdana"/>
                <w:sz w:val="20"/>
                <w:szCs w:val="20"/>
                <w:lang w:val="es-CO"/>
              </w:rPr>
              <w:t>-8</w:t>
            </w:r>
            <w:r w:rsidR="00746A85">
              <w:rPr>
                <w:rFonts w:ascii="Verdana" w:hAnsi="Verdana"/>
                <w:sz w:val="20"/>
                <w:szCs w:val="20"/>
                <w:lang w:val="es-CO"/>
              </w:rPr>
              <w:t>,</w:t>
            </w:r>
            <w:r w:rsidRPr="007223C1">
              <w:rPr>
                <w:rFonts w:ascii="Verdana" w:hAnsi="Verdana"/>
                <w:sz w:val="20"/>
                <w:szCs w:val="20"/>
                <w:lang w:val="es-CO"/>
              </w:rPr>
              <w:t>9 ±5</w:t>
            </w:r>
            <w:r w:rsidR="00746A85">
              <w:rPr>
                <w:rFonts w:ascii="Verdana" w:hAnsi="Verdana"/>
                <w:sz w:val="20"/>
                <w:szCs w:val="20"/>
                <w:lang w:val="es-CO"/>
              </w:rPr>
              <w:t>,</w:t>
            </w:r>
            <w:r w:rsidRPr="007223C1">
              <w:rPr>
                <w:rFonts w:ascii="Verdana" w:hAnsi="Verdana"/>
                <w:sz w:val="20"/>
                <w:szCs w:val="20"/>
                <w:lang w:val="es-CO"/>
              </w:rPr>
              <w:t>33</w:t>
            </w:r>
          </w:p>
        </w:tc>
      </w:tr>
      <w:tr w:rsidR="00436316" w:rsidRPr="007223C1" w14:paraId="0257E2B2" w14:textId="77777777" w:rsidTr="00626542">
        <w:trPr>
          <w:trHeight w:val="20"/>
          <w:jc w:val="center"/>
        </w:trPr>
        <w:tc>
          <w:tcPr>
            <w:tcW w:w="2694" w:type="dxa"/>
            <w:gridSpan w:val="2"/>
            <w:vMerge w:val="restart"/>
          </w:tcPr>
          <w:p w14:paraId="643B34E5" w14:textId="77777777" w:rsidR="00436316" w:rsidRPr="007223C1" w:rsidRDefault="00436316" w:rsidP="00B57E75">
            <w:pPr>
              <w:rPr>
                <w:rFonts w:ascii="Verdana" w:hAnsi="Verdana"/>
                <w:sz w:val="20"/>
                <w:szCs w:val="20"/>
                <w:lang w:val="es-CO"/>
              </w:rPr>
            </w:pPr>
            <w:r w:rsidRPr="007223C1">
              <w:rPr>
                <w:rFonts w:ascii="Verdana" w:hAnsi="Verdana"/>
                <w:sz w:val="20"/>
                <w:szCs w:val="20"/>
                <w:lang w:val="es-CO"/>
              </w:rPr>
              <w:t>Fuerza (</w:t>
            </w:r>
            <w:proofErr w:type="spellStart"/>
            <w:r w:rsidRPr="007223C1">
              <w:rPr>
                <w:rFonts w:ascii="Verdana" w:hAnsi="Verdana"/>
                <w:sz w:val="20"/>
                <w:szCs w:val="20"/>
                <w:lang w:val="es-CO"/>
              </w:rPr>
              <w:t>rep</w:t>
            </w:r>
            <w:proofErr w:type="spellEnd"/>
            <w:r w:rsidRPr="007223C1">
              <w:rPr>
                <w:rFonts w:ascii="Verdana" w:hAnsi="Verdana"/>
                <w:sz w:val="20"/>
                <w:szCs w:val="20"/>
                <w:lang w:val="es-CO"/>
              </w:rPr>
              <w:t>)</w:t>
            </w:r>
          </w:p>
        </w:tc>
        <w:tc>
          <w:tcPr>
            <w:tcW w:w="2596" w:type="dxa"/>
          </w:tcPr>
          <w:p w14:paraId="4E691C5E" w14:textId="77777777"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 xml:space="preserve">Arm </w:t>
            </w:r>
            <w:proofErr w:type="spellStart"/>
            <w:r w:rsidRPr="007223C1">
              <w:rPr>
                <w:rFonts w:ascii="Verdana" w:hAnsi="Verdana"/>
                <w:sz w:val="20"/>
                <w:szCs w:val="20"/>
                <w:lang w:val="es-CO"/>
              </w:rPr>
              <w:t>Curl</w:t>
            </w:r>
            <w:proofErr w:type="spellEnd"/>
            <w:r w:rsidRPr="007223C1">
              <w:rPr>
                <w:rFonts w:ascii="Verdana" w:hAnsi="Verdana"/>
                <w:sz w:val="20"/>
                <w:szCs w:val="20"/>
                <w:lang w:val="es-CO"/>
              </w:rPr>
              <w:t xml:space="preserve"> Test</w:t>
            </w:r>
          </w:p>
        </w:tc>
        <w:tc>
          <w:tcPr>
            <w:tcW w:w="3074" w:type="dxa"/>
            <w:gridSpan w:val="2"/>
          </w:tcPr>
          <w:p w14:paraId="3172208F" w14:textId="6F02B75A" w:rsidR="00436316" w:rsidRPr="007223C1" w:rsidRDefault="00436316" w:rsidP="00746A85">
            <w:pPr>
              <w:jc w:val="center"/>
              <w:rPr>
                <w:rFonts w:ascii="Verdana" w:hAnsi="Verdana"/>
                <w:sz w:val="20"/>
                <w:szCs w:val="20"/>
                <w:lang w:val="es-CO"/>
              </w:rPr>
            </w:pPr>
            <w:r w:rsidRPr="007223C1">
              <w:rPr>
                <w:rFonts w:ascii="Verdana" w:hAnsi="Verdana"/>
                <w:sz w:val="20"/>
                <w:szCs w:val="20"/>
                <w:lang w:val="es-CO"/>
              </w:rPr>
              <w:t>22</w:t>
            </w:r>
            <w:r w:rsidR="00746A85">
              <w:rPr>
                <w:rFonts w:ascii="Verdana" w:hAnsi="Verdana"/>
                <w:sz w:val="20"/>
                <w:szCs w:val="20"/>
                <w:lang w:val="es-CO"/>
              </w:rPr>
              <w:t>,</w:t>
            </w:r>
            <w:r w:rsidRPr="007223C1">
              <w:rPr>
                <w:rFonts w:ascii="Verdana" w:hAnsi="Verdana"/>
                <w:sz w:val="20"/>
                <w:szCs w:val="20"/>
                <w:lang w:val="es-CO"/>
              </w:rPr>
              <w:t>85 ±3</w:t>
            </w:r>
            <w:r w:rsidR="00746A85">
              <w:rPr>
                <w:rFonts w:ascii="Verdana" w:hAnsi="Verdana"/>
                <w:sz w:val="20"/>
                <w:szCs w:val="20"/>
                <w:lang w:val="es-CO"/>
              </w:rPr>
              <w:t>,</w:t>
            </w:r>
            <w:r w:rsidRPr="007223C1">
              <w:rPr>
                <w:rFonts w:ascii="Verdana" w:hAnsi="Verdana"/>
                <w:sz w:val="20"/>
                <w:szCs w:val="20"/>
                <w:lang w:val="es-CO"/>
              </w:rPr>
              <w:t>67</w:t>
            </w:r>
          </w:p>
        </w:tc>
      </w:tr>
      <w:tr w:rsidR="00436316" w:rsidRPr="007223C1" w14:paraId="7753DA4E" w14:textId="77777777" w:rsidTr="00626542">
        <w:trPr>
          <w:trHeight w:val="160"/>
          <w:jc w:val="center"/>
        </w:trPr>
        <w:tc>
          <w:tcPr>
            <w:tcW w:w="2694" w:type="dxa"/>
            <w:gridSpan w:val="2"/>
            <w:vMerge/>
          </w:tcPr>
          <w:p w14:paraId="00A08ADA" w14:textId="77777777" w:rsidR="00436316" w:rsidRPr="007223C1" w:rsidRDefault="00436316" w:rsidP="00B57E75">
            <w:pPr>
              <w:rPr>
                <w:rFonts w:ascii="Verdana" w:hAnsi="Verdana"/>
                <w:sz w:val="20"/>
                <w:szCs w:val="20"/>
                <w:lang w:val="es-CO"/>
              </w:rPr>
            </w:pPr>
          </w:p>
        </w:tc>
        <w:tc>
          <w:tcPr>
            <w:tcW w:w="2596" w:type="dxa"/>
          </w:tcPr>
          <w:p w14:paraId="29FB8BEA" w14:textId="77777777" w:rsidR="00436316" w:rsidRPr="007223C1" w:rsidRDefault="00436316" w:rsidP="00BB2C7C">
            <w:pPr>
              <w:jc w:val="center"/>
              <w:rPr>
                <w:rFonts w:ascii="Verdana" w:hAnsi="Verdana"/>
                <w:sz w:val="20"/>
                <w:szCs w:val="20"/>
                <w:lang w:val="es-CO"/>
              </w:rPr>
            </w:pPr>
            <w:proofErr w:type="spellStart"/>
            <w:r w:rsidRPr="007223C1">
              <w:rPr>
                <w:rFonts w:ascii="Verdana" w:hAnsi="Verdana"/>
                <w:sz w:val="20"/>
                <w:szCs w:val="20"/>
                <w:lang w:val="es-CO"/>
              </w:rPr>
              <w:t>Chair</w:t>
            </w:r>
            <w:proofErr w:type="spellEnd"/>
            <w:r w:rsidRPr="007223C1">
              <w:rPr>
                <w:rFonts w:ascii="Verdana" w:hAnsi="Verdana"/>
                <w:sz w:val="20"/>
                <w:szCs w:val="20"/>
                <w:lang w:val="es-CO"/>
              </w:rPr>
              <w:t xml:space="preserve"> Stand Test</w:t>
            </w:r>
          </w:p>
        </w:tc>
        <w:tc>
          <w:tcPr>
            <w:tcW w:w="3074" w:type="dxa"/>
            <w:gridSpan w:val="2"/>
          </w:tcPr>
          <w:p w14:paraId="32335BC1" w14:textId="77777777"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12 (10–13)</w:t>
            </w:r>
          </w:p>
        </w:tc>
      </w:tr>
      <w:tr w:rsidR="00436316" w:rsidRPr="007223C1" w14:paraId="5002B1BB" w14:textId="77777777" w:rsidTr="00626542">
        <w:trPr>
          <w:trHeight w:val="20"/>
          <w:jc w:val="center"/>
        </w:trPr>
        <w:tc>
          <w:tcPr>
            <w:tcW w:w="2694" w:type="dxa"/>
            <w:gridSpan w:val="2"/>
          </w:tcPr>
          <w:p w14:paraId="66EAED10" w14:textId="77777777" w:rsidR="00436316" w:rsidRPr="007223C1" w:rsidRDefault="00436316" w:rsidP="00B57E75">
            <w:pPr>
              <w:rPr>
                <w:rFonts w:ascii="Verdana" w:hAnsi="Verdana"/>
                <w:sz w:val="20"/>
                <w:szCs w:val="20"/>
                <w:lang w:val="es-CO"/>
              </w:rPr>
            </w:pPr>
            <w:r w:rsidRPr="007223C1">
              <w:rPr>
                <w:rFonts w:ascii="Verdana" w:hAnsi="Verdana"/>
                <w:sz w:val="20"/>
                <w:szCs w:val="20"/>
                <w:lang w:val="es-CO"/>
              </w:rPr>
              <w:t>Agilidad (</w:t>
            </w:r>
            <w:proofErr w:type="spellStart"/>
            <w:r w:rsidRPr="007223C1">
              <w:rPr>
                <w:rFonts w:ascii="Verdana" w:hAnsi="Verdana"/>
                <w:sz w:val="20"/>
                <w:szCs w:val="20"/>
                <w:lang w:val="es-CO"/>
              </w:rPr>
              <w:t>seg</w:t>
            </w:r>
            <w:proofErr w:type="spellEnd"/>
            <w:r w:rsidRPr="007223C1">
              <w:rPr>
                <w:rFonts w:ascii="Verdana" w:hAnsi="Verdana"/>
                <w:sz w:val="20"/>
                <w:szCs w:val="20"/>
                <w:lang w:val="es-CO"/>
              </w:rPr>
              <w:t>)</w:t>
            </w:r>
          </w:p>
        </w:tc>
        <w:tc>
          <w:tcPr>
            <w:tcW w:w="2596" w:type="dxa"/>
          </w:tcPr>
          <w:p w14:paraId="5D9577AC" w14:textId="77777777" w:rsidR="00436316" w:rsidRPr="007223C1" w:rsidRDefault="00436316" w:rsidP="00BB2C7C">
            <w:pPr>
              <w:jc w:val="center"/>
              <w:rPr>
                <w:rFonts w:ascii="Verdana" w:hAnsi="Verdana"/>
                <w:sz w:val="20"/>
                <w:szCs w:val="20"/>
              </w:rPr>
            </w:pPr>
            <w:r w:rsidRPr="007223C1">
              <w:rPr>
                <w:rFonts w:ascii="Verdana" w:hAnsi="Verdana"/>
                <w:sz w:val="20"/>
                <w:szCs w:val="20"/>
              </w:rPr>
              <w:t>Foot Up and Go Test</w:t>
            </w:r>
          </w:p>
        </w:tc>
        <w:tc>
          <w:tcPr>
            <w:tcW w:w="3074" w:type="dxa"/>
            <w:gridSpan w:val="2"/>
          </w:tcPr>
          <w:p w14:paraId="4A1CDACC" w14:textId="77E8982B" w:rsidR="00436316" w:rsidRPr="007223C1" w:rsidRDefault="00436316" w:rsidP="00746A85">
            <w:pPr>
              <w:jc w:val="center"/>
              <w:rPr>
                <w:rFonts w:ascii="Verdana" w:hAnsi="Verdana"/>
                <w:sz w:val="20"/>
                <w:szCs w:val="20"/>
                <w:lang w:val="es-CO"/>
              </w:rPr>
            </w:pPr>
            <w:r w:rsidRPr="007223C1">
              <w:rPr>
                <w:rFonts w:ascii="Verdana" w:hAnsi="Verdana"/>
                <w:sz w:val="20"/>
                <w:szCs w:val="20"/>
                <w:lang w:val="es-CO"/>
              </w:rPr>
              <w:t>4</w:t>
            </w:r>
            <w:r w:rsidR="00746A85">
              <w:rPr>
                <w:rFonts w:ascii="Verdana" w:hAnsi="Verdana"/>
                <w:sz w:val="20"/>
                <w:szCs w:val="20"/>
                <w:lang w:val="es-CO"/>
              </w:rPr>
              <w:t>,</w:t>
            </w:r>
            <w:r w:rsidRPr="007223C1">
              <w:rPr>
                <w:rFonts w:ascii="Verdana" w:hAnsi="Verdana"/>
                <w:sz w:val="20"/>
                <w:szCs w:val="20"/>
                <w:lang w:val="es-CO"/>
              </w:rPr>
              <w:t>8 (1</w:t>
            </w:r>
            <w:r w:rsidR="00746A85">
              <w:rPr>
                <w:rFonts w:ascii="Verdana" w:hAnsi="Verdana"/>
                <w:sz w:val="20"/>
                <w:szCs w:val="20"/>
                <w:lang w:val="es-CO"/>
              </w:rPr>
              <w:t>,</w:t>
            </w:r>
            <w:r w:rsidRPr="007223C1">
              <w:rPr>
                <w:rFonts w:ascii="Verdana" w:hAnsi="Verdana"/>
                <w:sz w:val="20"/>
                <w:szCs w:val="20"/>
                <w:lang w:val="es-CO"/>
              </w:rPr>
              <w:t>54-5</w:t>
            </w:r>
            <w:r w:rsidR="00746A85">
              <w:rPr>
                <w:rFonts w:ascii="Verdana" w:hAnsi="Verdana"/>
                <w:sz w:val="20"/>
                <w:szCs w:val="20"/>
                <w:lang w:val="es-CO"/>
              </w:rPr>
              <w:t>,</w:t>
            </w:r>
            <w:r w:rsidRPr="007223C1">
              <w:rPr>
                <w:rFonts w:ascii="Verdana" w:hAnsi="Verdana"/>
                <w:sz w:val="20"/>
                <w:szCs w:val="20"/>
                <w:lang w:val="es-CO"/>
              </w:rPr>
              <w:t>91)</w:t>
            </w:r>
          </w:p>
        </w:tc>
      </w:tr>
      <w:tr w:rsidR="00436316" w:rsidRPr="007223C1" w14:paraId="55C22080" w14:textId="77777777" w:rsidTr="00626542">
        <w:trPr>
          <w:trHeight w:val="20"/>
          <w:jc w:val="center"/>
        </w:trPr>
        <w:tc>
          <w:tcPr>
            <w:tcW w:w="2694" w:type="dxa"/>
            <w:gridSpan w:val="2"/>
          </w:tcPr>
          <w:p w14:paraId="126922CF" w14:textId="77777777" w:rsidR="00436316" w:rsidRPr="007223C1" w:rsidRDefault="00436316" w:rsidP="00B57E75">
            <w:pPr>
              <w:rPr>
                <w:rFonts w:ascii="Verdana" w:hAnsi="Verdana"/>
                <w:sz w:val="20"/>
                <w:szCs w:val="20"/>
                <w:lang w:val="es-CO"/>
              </w:rPr>
            </w:pPr>
            <w:r w:rsidRPr="007223C1">
              <w:rPr>
                <w:rFonts w:ascii="Verdana" w:hAnsi="Verdana"/>
                <w:sz w:val="20"/>
                <w:szCs w:val="20"/>
                <w:lang w:val="es-CO"/>
              </w:rPr>
              <w:t>Res. Aeróbica (N.P)</w:t>
            </w:r>
          </w:p>
        </w:tc>
        <w:tc>
          <w:tcPr>
            <w:tcW w:w="2596" w:type="dxa"/>
          </w:tcPr>
          <w:p w14:paraId="66692ACD" w14:textId="77777777"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Test 2 min</w:t>
            </w:r>
          </w:p>
        </w:tc>
        <w:tc>
          <w:tcPr>
            <w:tcW w:w="3074" w:type="dxa"/>
            <w:gridSpan w:val="2"/>
          </w:tcPr>
          <w:p w14:paraId="6B9BDEE0" w14:textId="19AEB744" w:rsidR="00436316" w:rsidRPr="007223C1" w:rsidRDefault="00436316" w:rsidP="00746A85">
            <w:pPr>
              <w:jc w:val="center"/>
              <w:rPr>
                <w:rFonts w:ascii="Verdana" w:hAnsi="Verdana"/>
                <w:sz w:val="20"/>
                <w:szCs w:val="20"/>
                <w:lang w:val="es-CO"/>
              </w:rPr>
            </w:pPr>
            <w:r w:rsidRPr="007223C1">
              <w:rPr>
                <w:rFonts w:ascii="Verdana" w:hAnsi="Verdana"/>
                <w:sz w:val="20"/>
                <w:szCs w:val="20"/>
                <w:lang w:val="es-CO"/>
              </w:rPr>
              <w:t>40 ±92</w:t>
            </w:r>
            <w:r w:rsidR="00746A85">
              <w:rPr>
                <w:rFonts w:ascii="Verdana" w:hAnsi="Verdana"/>
                <w:sz w:val="20"/>
                <w:szCs w:val="20"/>
                <w:lang w:val="es-CO"/>
              </w:rPr>
              <w:t>,</w:t>
            </w:r>
            <w:r w:rsidRPr="007223C1">
              <w:rPr>
                <w:rFonts w:ascii="Verdana" w:hAnsi="Verdana"/>
                <w:sz w:val="20"/>
                <w:szCs w:val="20"/>
                <w:lang w:val="es-CO"/>
              </w:rPr>
              <w:t>7</w:t>
            </w:r>
          </w:p>
        </w:tc>
      </w:tr>
      <w:tr w:rsidR="00436316" w:rsidRPr="007223C1" w14:paraId="6E896D13" w14:textId="77777777" w:rsidTr="00626542">
        <w:trPr>
          <w:trHeight w:val="20"/>
          <w:jc w:val="center"/>
        </w:trPr>
        <w:tc>
          <w:tcPr>
            <w:tcW w:w="2552" w:type="dxa"/>
          </w:tcPr>
          <w:p w14:paraId="1365A259" w14:textId="77777777" w:rsidR="00436316" w:rsidRPr="007223C1" w:rsidRDefault="00436316" w:rsidP="00B57E75">
            <w:pPr>
              <w:rPr>
                <w:rFonts w:ascii="Verdana" w:hAnsi="Verdana"/>
                <w:sz w:val="20"/>
                <w:szCs w:val="20"/>
                <w:lang w:val="es-CO"/>
              </w:rPr>
            </w:pPr>
            <w:r w:rsidRPr="007223C1">
              <w:rPr>
                <w:rFonts w:ascii="Verdana" w:hAnsi="Verdana"/>
                <w:sz w:val="20"/>
                <w:szCs w:val="20"/>
                <w:lang w:val="es-CO"/>
              </w:rPr>
              <w:t>Riesgo de Caídas</w:t>
            </w:r>
          </w:p>
        </w:tc>
        <w:tc>
          <w:tcPr>
            <w:tcW w:w="2811" w:type="dxa"/>
            <w:gridSpan w:val="3"/>
          </w:tcPr>
          <w:p w14:paraId="3D11EDA0" w14:textId="77777777" w:rsidR="00436316" w:rsidRPr="007223C1" w:rsidRDefault="00436316" w:rsidP="00BB2C7C">
            <w:pPr>
              <w:jc w:val="center"/>
              <w:rPr>
                <w:rFonts w:ascii="Verdana" w:hAnsi="Verdana"/>
                <w:sz w:val="20"/>
                <w:szCs w:val="20"/>
                <w:lang w:val="es-CO"/>
              </w:rPr>
            </w:pPr>
            <w:proofErr w:type="spellStart"/>
            <w:r w:rsidRPr="007223C1">
              <w:rPr>
                <w:rFonts w:ascii="Verdana" w:hAnsi="Verdana"/>
                <w:sz w:val="20"/>
                <w:szCs w:val="20"/>
                <w:lang w:val="es-CO"/>
              </w:rPr>
              <w:t>Tinetti</w:t>
            </w:r>
            <w:proofErr w:type="spellEnd"/>
          </w:p>
        </w:tc>
        <w:tc>
          <w:tcPr>
            <w:tcW w:w="3001" w:type="dxa"/>
          </w:tcPr>
          <w:p w14:paraId="73D5DCED" w14:textId="77777777"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21 (20-22)</w:t>
            </w:r>
          </w:p>
        </w:tc>
      </w:tr>
    </w:tbl>
    <w:p w14:paraId="293278C8" w14:textId="77777777" w:rsidR="00BB2C7C" w:rsidRDefault="00436316" w:rsidP="00BB2C7C">
      <w:pPr>
        <w:jc w:val="center"/>
        <w:rPr>
          <w:rFonts w:ascii="Verdana" w:hAnsi="Verdana"/>
          <w:sz w:val="20"/>
          <w:szCs w:val="20"/>
          <w:lang w:val="es-CO"/>
        </w:rPr>
      </w:pPr>
      <w:r w:rsidRPr="007223C1">
        <w:rPr>
          <w:rFonts w:ascii="Verdana" w:hAnsi="Verdana"/>
          <w:sz w:val="20"/>
          <w:szCs w:val="20"/>
          <w:lang w:val="es-CO"/>
        </w:rPr>
        <w:t xml:space="preserve">CFF: Capacidad Física Funcional. </w:t>
      </w:r>
    </w:p>
    <w:p w14:paraId="77156730" w14:textId="77777777" w:rsidR="00BB2C7C" w:rsidRDefault="00436316" w:rsidP="00BB2C7C">
      <w:pPr>
        <w:jc w:val="center"/>
        <w:rPr>
          <w:rFonts w:ascii="Verdana" w:hAnsi="Verdana"/>
          <w:sz w:val="20"/>
          <w:szCs w:val="20"/>
          <w:lang w:val="es-CO"/>
        </w:rPr>
      </w:pPr>
      <w:r w:rsidRPr="007223C1">
        <w:rPr>
          <w:rFonts w:ascii="Verdana" w:hAnsi="Verdana"/>
          <w:sz w:val="20"/>
          <w:szCs w:val="20"/>
          <w:lang w:val="es-CO"/>
        </w:rPr>
        <w:lastRenderedPageBreak/>
        <w:t xml:space="preserve">D.E: Desviación Estándar. </w:t>
      </w:r>
    </w:p>
    <w:p w14:paraId="1363F651" w14:textId="77777777" w:rsidR="00BB2C7C" w:rsidRDefault="00436316" w:rsidP="00BB2C7C">
      <w:pPr>
        <w:jc w:val="center"/>
        <w:rPr>
          <w:rFonts w:ascii="Verdana" w:hAnsi="Verdana"/>
          <w:sz w:val="20"/>
          <w:szCs w:val="20"/>
          <w:lang w:val="es-CO"/>
        </w:rPr>
      </w:pPr>
      <w:r w:rsidRPr="007223C1">
        <w:rPr>
          <w:rFonts w:ascii="Verdana" w:hAnsi="Verdana"/>
          <w:sz w:val="20"/>
          <w:szCs w:val="20"/>
          <w:lang w:val="es-CO"/>
        </w:rPr>
        <w:t xml:space="preserve">RIC: Rango </w:t>
      </w:r>
      <w:proofErr w:type="spellStart"/>
      <w:r w:rsidRPr="007223C1">
        <w:rPr>
          <w:rFonts w:ascii="Verdana" w:hAnsi="Verdana"/>
          <w:sz w:val="20"/>
          <w:szCs w:val="20"/>
          <w:lang w:val="es-CO"/>
        </w:rPr>
        <w:t>Intercuartilico</w:t>
      </w:r>
      <w:proofErr w:type="spellEnd"/>
      <w:r w:rsidRPr="007223C1">
        <w:rPr>
          <w:rFonts w:ascii="Verdana" w:hAnsi="Verdana"/>
          <w:sz w:val="20"/>
          <w:szCs w:val="20"/>
          <w:lang w:val="es-CO"/>
        </w:rPr>
        <w:t xml:space="preserve">. </w:t>
      </w:r>
    </w:p>
    <w:p w14:paraId="292A7135" w14:textId="0B248737" w:rsidR="00436316" w:rsidRPr="007223C1" w:rsidRDefault="00436316" w:rsidP="00BB2C7C">
      <w:pPr>
        <w:jc w:val="center"/>
        <w:rPr>
          <w:rFonts w:ascii="Verdana" w:hAnsi="Verdana"/>
          <w:sz w:val="20"/>
          <w:szCs w:val="20"/>
          <w:lang w:val="es-CO"/>
        </w:rPr>
      </w:pPr>
      <w:r w:rsidRPr="007223C1">
        <w:rPr>
          <w:rFonts w:ascii="Verdana" w:hAnsi="Verdana"/>
          <w:sz w:val="20"/>
          <w:szCs w:val="20"/>
          <w:lang w:val="es-CO"/>
        </w:rPr>
        <w:t>NP: Número de pasos.</w:t>
      </w:r>
    </w:p>
    <w:p w14:paraId="338B798C" w14:textId="16E58086" w:rsidR="00011243" w:rsidRDefault="00011243" w:rsidP="007223C1">
      <w:pPr>
        <w:spacing w:line="360" w:lineRule="auto"/>
        <w:jc w:val="center"/>
        <w:rPr>
          <w:rFonts w:ascii="Verdana" w:hAnsi="Verdana"/>
          <w:b/>
          <w:sz w:val="20"/>
          <w:szCs w:val="20"/>
          <w:lang w:val="es-CO"/>
        </w:rPr>
      </w:pPr>
    </w:p>
    <w:p w14:paraId="3E0B2328" w14:textId="77777777" w:rsidR="00964A98" w:rsidRDefault="00964A98" w:rsidP="007223C1">
      <w:pPr>
        <w:spacing w:line="360" w:lineRule="auto"/>
        <w:jc w:val="both"/>
        <w:rPr>
          <w:rFonts w:ascii="Verdana" w:hAnsi="Verdana"/>
          <w:sz w:val="20"/>
          <w:szCs w:val="20"/>
          <w:lang w:val="es-CO"/>
        </w:rPr>
      </w:pPr>
    </w:p>
    <w:p w14:paraId="4F638693" w14:textId="3A9734D1"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En la tabla 3, se encontró una relación indirecta entre riesgo de caídas y edad r: -0</w:t>
      </w:r>
      <w:r w:rsidR="00E73C13">
        <w:rPr>
          <w:rFonts w:ascii="Verdana" w:hAnsi="Verdana"/>
          <w:sz w:val="20"/>
          <w:szCs w:val="20"/>
          <w:lang w:val="es-CO"/>
        </w:rPr>
        <w:t>,</w:t>
      </w:r>
      <w:r w:rsidRPr="007223C1">
        <w:rPr>
          <w:rFonts w:ascii="Verdana" w:hAnsi="Verdana"/>
          <w:sz w:val="20"/>
          <w:szCs w:val="20"/>
          <w:lang w:val="es-CO"/>
        </w:rPr>
        <w:t xml:space="preserve">104, p=0.001. En el análisis de regresión lineal, se observa que la edad, el peso, el IMC, la fuerza de tren inferior y superior están asociada al riesgo de caídas. </w:t>
      </w:r>
    </w:p>
    <w:p w14:paraId="4645137F" w14:textId="51C0EEDC" w:rsidR="00011243" w:rsidRDefault="00011243" w:rsidP="007223C1">
      <w:pPr>
        <w:spacing w:line="360" w:lineRule="auto"/>
        <w:jc w:val="both"/>
        <w:rPr>
          <w:rFonts w:ascii="Verdana" w:hAnsi="Verdana"/>
          <w:sz w:val="20"/>
          <w:szCs w:val="20"/>
          <w:lang w:val="es-CO"/>
        </w:rPr>
      </w:pPr>
    </w:p>
    <w:p w14:paraId="56627DC8" w14:textId="1AC74203" w:rsidR="00214F3F" w:rsidRPr="006E48A5" w:rsidRDefault="00214F3F" w:rsidP="006E48A5">
      <w:pPr>
        <w:jc w:val="center"/>
        <w:rPr>
          <w:rFonts w:ascii="Verdana" w:hAnsi="Verdana"/>
          <w:sz w:val="20"/>
          <w:szCs w:val="20"/>
          <w:lang w:val="es-CO"/>
        </w:rPr>
      </w:pPr>
      <w:r w:rsidRPr="006E48A5">
        <w:rPr>
          <w:rFonts w:ascii="Verdana" w:hAnsi="Verdana"/>
          <w:b/>
          <w:sz w:val="20"/>
          <w:szCs w:val="20"/>
          <w:lang w:val="es-CO"/>
        </w:rPr>
        <w:t xml:space="preserve">Tabla 3. </w:t>
      </w:r>
      <w:r w:rsidRPr="006E48A5">
        <w:rPr>
          <w:rFonts w:ascii="Verdana" w:hAnsi="Verdana"/>
          <w:sz w:val="20"/>
          <w:szCs w:val="20"/>
          <w:lang w:val="es-CO"/>
        </w:rPr>
        <w:t>Factores asociados al riesgo de caídas</w:t>
      </w:r>
    </w:p>
    <w:p w14:paraId="693C2728" w14:textId="77777777" w:rsidR="00214F3F" w:rsidRPr="006E48A5" w:rsidRDefault="00214F3F" w:rsidP="006E48A5">
      <w:pPr>
        <w:jc w:val="center"/>
        <w:rPr>
          <w:rFonts w:ascii="Verdana" w:hAnsi="Verdana"/>
          <w:b/>
          <w:sz w:val="20"/>
          <w:szCs w:val="20"/>
          <w:lang w:val="es-CO"/>
        </w:rPr>
      </w:pPr>
    </w:p>
    <w:tbl>
      <w:tblPr>
        <w:tblStyle w:val="Estilo1"/>
        <w:tblW w:w="8364" w:type="dxa"/>
        <w:jc w:val="center"/>
        <w:tblLayout w:type="fixed"/>
        <w:tblLook w:val="04A0" w:firstRow="1" w:lastRow="0" w:firstColumn="1" w:lastColumn="0" w:noHBand="0" w:noVBand="1"/>
      </w:tblPr>
      <w:tblGrid>
        <w:gridCol w:w="2136"/>
        <w:gridCol w:w="1839"/>
        <w:gridCol w:w="2693"/>
        <w:gridCol w:w="1696"/>
      </w:tblGrid>
      <w:tr w:rsidR="00214F3F" w:rsidRPr="004D3AAC" w14:paraId="1B8FEE2C" w14:textId="77777777" w:rsidTr="004D3AAC">
        <w:trPr>
          <w:cnfStyle w:val="100000000000" w:firstRow="1" w:lastRow="0" w:firstColumn="0" w:lastColumn="0" w:oddVBand="0" w:evenVBand="0" w:oddHBand="0" w:evenHBand="0" w:firstRowFirstColumn="0" w:firstRowLastColumn="0" w:lastRowFirstColumn="0" w:lastRowLastColumn="0"/>
          <w:trHeight w:val="20"/>
          <w:jc w:val="center"/>
        </w:trPr>
        <w:tc>
          <w:tcPr>
            <w:tcW w:w="2127" w:type="dxa"/>
          </w:tcPr>
          <w:p w14:paraId="1B803B0C"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Variable</w:t>
            </w:r>
          </w:p>
        </w:tc>
        <w:tc>
          <w:tcPr>
            <w:tcW w:w="1842" w:type="dxa"/>
          </w:tcPr>
          <w:p w14:paraId="21660996"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r</w:t>
            </w:r>
          </w:p>
        </w:tc>
        <w:tc>
          <w:tcPr>
            <w:tcW w:w="2720" w:type="dxa"/>
          </w:tcPr>
          <w:p w14:paraId="628A8B3E"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IC del 95%</w:t>
            </w:r>
          </w:p>
        </w:tc>
        <w:tc>
          <w:tcPr>
            <w:tcW w:w="1675" w:type="dxa"/>
          </w:tcPr>
          <w:p w14:paraId="780CBBDC"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P</w:t>
            </w:r>
          </w:p>
        </w:tc>
      </w:tr>
      <w:tr w:rsidR="00214F3F" w:rsidRPr="004D3AAC" w14:paraId="633DD65A" w14:textId="77777777" w:rsidTr="004D3AAC">
        <w:trPr>
          <w:trHeight w:val="20"/>
          <w:jc w:val="center"/>
        </w:trPr>
        <w:tc>
          <w:tcPr>
            <w:tcW w:w="2127" w:type="dxa"/>
          </w:tcPr>
          <w:p w14:paraId="7BB0BC36"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Edad</w:t>
            </w:r>
          </w:p>
        </w:tc>
        <w:tc>
          <w:tcPr>
            <w:tcW w:w="1842" w:type="dxa"/>
          </w:tcPr>
          <w:p w14:paraId="46316697"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-0.10</w:t>
            </w:r>
          </w:p>
        </w:tc>
        <w:tc>
          <w:tcPr>
            <w:tcW w:w="2720" w:type="dxa"/>
          </w:tcPr>
          <w:p w14:paraId="70399C2C"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-0.16 a -0.04</w:t>
            </w:r>
          </w:p>
        </w:tc>
        <w:tc>
          <w:tcPr>
            <w:tcW w:w="1675" w:type="dxa"/>
          </w:tcPr>
          <w:p w14:paraId="6D2944B5"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r>
      <w:tr w:rsidR="00214F3F" w:rsidRPr="004D3AAC" w14:paraId="7E304F31" w14:textId="77777777" w:rsidTr="004D3AAC">
        <w:trPr>
          <w:trHeight w:val="20"/>
          <w:jc w:val="center"/>
        </w:trPr>
        <w:tc>
          <w:tcPr>
            <w:tcW w:w="2127" w:type="dxa"/>
          </w:tcPr>
          <w:p w14:paraId="56552B9C"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Peso</w:t>
            </w:r>
          </w:p>
        </w:tc>
        <w:tc>
          <w:tcPr>
            <w:tcW w:w="1842" w:type="dxa"/>
          </w:tcPr>
          <w:p w14:paraId="1C76F59D"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-0.06</w:t>
            </w:r>
          </w:p>
        </w:tc>
        <w:tc>
          <w:tcPr>
            <w:tcW w:w="2720" w:type="dxa"/>
          </w:tcPr>
          <w:p w14:paraId="1AB937C4"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-0.08 a -0.04</w:t>
            </w:r>
          </w:p>
        </w:tc>
        <w:tc>
          <w:tcPr>
            <w:tcW w:w="1675" w:type="dxa"/>
          </w:tcPr>
          <w:p w14:paraId="4E9D28BA"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r>
      <w:tr w:rsidR="00214F3F" w:rsidRPr="004D3AAC" w14:paraId="4E885667" w14:textId="77777777" w:rsidTr="004D3AAC">
        <w:trPr>
          <w:trHeight w:val="20"/>
          <w:jc w:val="center"/>
        </w:trPr>
        <w:tc>
          <w:tcPr>
            <w:tcW w:w="2127" w:type="dxa"/>
          </w:tcPr>
          <w:p w14:paraId="1E5B1306"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Talla</w:t>
            </w:r>
          </w:p>
        </w:tc>
        <w:tc>
          <w:tcPr>
            <w:tcW w:w="1842" w:type="dxa"/>
          </w:tcPr>
          <w:p w14:paraId="26F58959"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-0.01</w:t>
            </w:r>
          </w:p>
        </w:tc>
        <w:tc>
          <w:tcPr>
            <w:tcW w:w="2720" w:type="dxa"/>
          </w:tcPr>
          <w:p w14:paraId="34A2EFB4"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-6.24 a 6.21</w:t>
            </w:r>
          </w:p>
        </w:tc>
        <w:tc>
          <w:tcPr>
            <w:tcW w:w="1675" w:type="dxa"/>
          </w:tcPr>
          <w:p w14:paraId="69D29418"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0.99</w:t>
            </w:r>
          </w:p>
        </w:tc>
      </w:tr>
      <w:tr w:rsidR="00214F3F" w:rsidRPr="004D3AAC" w14:paraId="2F7E8EA1" w14:textId="77777777" w:rsidTr="004D3AAC">
        <w:trPr>
          <w:trHeight w:val="20"/>
          <w:jc w:val="center"/>
        </w:trPr>
        <w:tc>
          <w:tcPr>
            <w:tcW w:w="2127" w:type="dxa"/>
          </w:tcPr>
          <w:p w14:paraId="5F6786A8"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IMC</w:t>
            </w:r>
          </w:p>
        </w:tc>
        <w:tc>
          <w:tcPr>
            <w:tcW w:w="1842" w:type="dxa"/>
          </w:tcPr>
          <w:p w14:paraId="21A5C1AF"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-0.16</w:t>
            </w:r>
          </w:p>
        </w:tc>
        <w:tc>
          <w:tcPr>
            <w:tcW w:w="2720" w:type="dxa"/>
          </w:tcPr>
          <w:p w14:paraId="6F042A91"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-0,20 a -0.11</w:t>
            </w:r>
          </w:p>
        </w:tc>
        <w:tc>
          <w:tcPr>
            <w:tcW w:w="1675" w:type="dxa"/>
          </w:tcPr>
          <w:p w14:paraId="0DE1EE45"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r>
      <w:tr w:rsidR="00214F3F" w:rsidRPr="004D3AAC" w14:paraId="10722C2D" w14:textId="77777777" w:rsidTr="004D3AAC">
        <w:trPr>
          <w:trHeight w:val="20"/>
          <w:jc w:val="center"/>
        </w:trPr>
        <w:tc>
          <w:tcPr>
            <w:tcW w:w="2127" w:type="dxa"/>
          </w:tcPr>
          <w:p w14:paraId="25328DDB"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 xml:space="preserve">Flexibilidad </w:t>
            </w:r>
            <w:proofErr w:type="spellStart"/>
            <w:r w:rsidRPr="004D3AAC">
              <w:rPr>
                <w:rFonts w:ascii="Verdana" w:hAnsi="Verdana"/>
                <w:sz w:val="20"/>
                <w:szCs w:val="20"/>
                <w:lang w:val="es-CO"/>
              </w:rPr>
              <w:t>Inf</w:t>
            </w:r>
            <w:proofErr w:type="spellEnd"/>
            <w:r w:rsidRPr="004D3AAC">
              <w:rPr>
                <w:rFonts w:ascii="Verdana" w:hAnsi="Verdana"/>
                <w:sz w:val="20"/>
                <w:szCs w:val="20"/>
                <w:lang w:val="es-CO"/>
              </w:rPr>
              <w:t>.</w:t>
            </w:r>
          </w:p>
        </w:tc>
        <w:tc>
          <w:tcPr>
            <w:tcW w:w="1842" w:type="dxa"/>
          </w:tcPr>
          <w:p w14:paraId="1F78DC75"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c>
          <w:tcPr>
            <w:tcW w:w="2720" w:type="dxa"/>
          </w:tcPr>
          <w:p w14:paraId="7AAE3C6F"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-0.05 a 0.05</w:t>
            </w:r>
          </w:p>
        </w:tc>
        <w:tc>
          <w:tcPr>
            <w:tcW w:w="1675" w:type="dxa"/>
          </w:tcPr>
          <w:p w14:paraId="0951568E"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0.80</w:t>
            </w:r>
          </w:p>
        </w:tc>
      </w:tr>
      <w:tr w:rsidR="00214F3F" w:rsidRPr="004D3AAC" w14:paraId="2D2D94FC" w14:textId="77777777" w:rsidTr="004D3AAC">
        <w:trPr>
          <w:trHeight w:val="20"/>
          <w:jc w:val="center"/>
        </w:trPr>
        <w:tc>
          <w:tcPr>
            <w:tcW w:w="2127" w:type="dxa"/>
          </w:tcPr>
          <w:p w14:paraId="071582BB"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 xml:space="preserve">Flexibilidad </w:t>
            </w:r>
            <w:proofErr w:type="spellStart"/>
            <w:r w:rsidRPr="004D3AAC">
              <w:rPr>
                <w:rFonts w:ascii="Verdana" w:hAnsi="Verdana"/>
                <w:sz w:val="20"/>
                <w:szCs w:val="20"/>
                <w:lang w:val="es-CO"/>
              </w:rPr>
              <w:t>Sup</w:t>
            </w:r>
            <w:proofErr w:type="spellEnd"/>
            <w:r w:rsidRPr="004D3AAC">
              <w:rPr>
                <w:rFonts w:ascii="Verdana" w:hAnsi="Verdana"/>
                <w:sz w:val="20"/>
                <w:szCs w:val="20"/>
                <w:lang w:val="es-CO"/>
              </w:rPr>
              <w:t>.</w:t>
            </w:r>
          </w:p>
        </w:tc>
        <w:tc>
          <w:tcPr>
            <w:tcW w:w="1842" w:type="dxa"/>
          </w:tcPr>
          <w:p w14:paraId="5F45053E"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c>
          <w:tcPr>
            <w:tcW w:w="2720" w:type="dxa"/>
          </w:tcPr>
          <w:p w14:paraId="75E6F609"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-0.081 a 0.06</w:t>
            </w:r>
          </w:p>
        </w:tc>
        <w:tc>
          <w:tcPr>
            <w:tcW w:w="1675" w:type="dxa"/>
          </w:tcPr>
          <w:p w14:paraId="3879A14B"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0.81</w:t>
            </w:r>
          </w:p>
        </w:tc>
      </w:tr>
      <w:tr w:rsidR="00214F3F" w:rsidRPr="004D3AAC" w14:paraId="4B0D5840" w14:textId="77777777" w:rsidTr="004D3AAC">
        <w:trPr>
          <w:trHeight w:val="20"/>
          <w:jc w:val="center"/>
        </w:trPr>
        <w:tc>
          <w:tcPr>
            <w:tcW w:w="2127" w:type="dxa"/>
          </w:tcPr>
          <w:p w14:paraId="48B9601D"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 xml:space="preserve">Resistencia </w:t>
            </w:r>
            <w:proofErr w:type="spellStart"/>
            <w:r w:rsidRPr="004D3AAC">
              <w:rPr>
                <w:rFonts w:ascii="Verdana" w:hAnsi="Verdana"/>
                <w:sz w:val="20"/>
                <w:szCs w:val="20"/>
                <w:lang w:val="es-CO"/>
              </w:rPr>
              <w:t>Sup</w:t>
            </w:r>
            <w:proofErr w:type="spellEnd"/>
            <w:r w:rsidRPr="004D3AAC">
              <w:rPr>
                <w:rFonts w:ascii="Verdana" w:hAnsi="Verdana"/>
                <w:sz w:val="20"/>
                <w:szCs w:val="20"/>
                <w:lang w:val="es-CO"/>
              </w:rPr>
              <w:t>.</w:t>
            </w:r>
          </w:p>
        </w:tc>
        <w:tc>
          <w:tcPr>
            <w:tcW w:w="1842" w:type="dxa"/>
          </w:tcPr>
          <w:p w14:paraId="0AA906D7"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- 0.21</w:t>
            </w:r>
          </w:p>
        </w:tc>
        <w:tc>
          <w:tcPr>
            <w:tcW w:w="2720" w:type="dxa"/>
          </w:tcPr>
          <w:p w14:paraId="11781277"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-0.31 a -0.11</w:t>
            </w:r>
          </w:p>
        </w:tc>
        <w:tc>
          <w:tcPr>
            <w:tcW w:w="1675" w:type="dxa"/>
          </w:tcPr>
          <w:p w14:paraId="46692716"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0.00</w:t>
            </w:r>
          </w:p>
        </w:tc>
      </w:tr>
      <w:tr w:rsidR="00214F3F" w:rsidRPr="004D3AAC" w14:paraId="255E15F0" w14:textId="77777777" w:rsidTr="004D3AAC">
        <w:trPr>
          <w:trHeight w:val="20"/>
          <w:jc w:val="center"/>
        </w:trPr>
        <w:tc>
          <w:tcPr>
            <w:tcW w:w="2127" w:type="dxa"/>
          </w:tcPr>
          <w:p w14:paraId="59FF603F"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 xml:space="preserve">Resistencia </w:t>
            </w:r>
            <w:proofErr w:type="spellStart"/>
            <w:r w:rsidRPr="004D3AAC">
              <w:rPr>
                <w:rFonts w:ascii="Verdana" w:hAnsi="Verdana"/>
                <w:sz w:val="20"/>
                <w:szCs w:val="20"/>
                <w:lang w:val="es-CO"/>
              </w:rPr>
              <w:t>Inf</w:t>
            </w:r>
            <w:proofErr w:type="spellEnd"/>
            <w:r w:rsidRPr="004D3AAC">
              <w:rPr>
                <w:rFonts w:ascii="Verdana" w:hAnsi="Verdana"/>
                <w:sz w:val="20"/>
                <w:szCs w:val="20"/>
                <w:lang w:val="es-CO"/>
              </w:rPr>
              <w:t>.</w:t>
            </w:r>
          </w:p>
        </w:tc>
        <w:tc>
          <w:tcPr>
            <w:tcW w:w="1842" w:type="dxa"/>
          </w:tcPr>
          <w:p w14:paraId="351C384A"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-0.13</w:t>
            </w:r>
          </w:p>
        </w:tc>
        <w:tc>
          <w:tcPr>
            <w:tcW w:w="2720" w:type="dxa"/>
          </w:tcPr>
          <w:p w14:paraId="16A83BD6"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-0.26 a  0.007</w:t>
            </w:r>
          </w:p>
        </w:tc>
        <w:tc>
          <w:tcPr>
            <w:tcW w:w="1675" w:type="dxa"/>
          </w:tcPr>
          <w:p w14:paraId="4F0C491F"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0.04</w:t>
            </w:r>
          </w:p>
        </w:tc>
      </w:tr>
      <w:tr w:rsidR="00214F3F" w:rsidRPr="004D3AAC" w14:paraId="33270CCF" w14:textId="77777777" w:rsidTr="004D3AAC">
        <w:trPr>
          <w:trHeight w:val="20"/>
          <w:jc w:val="center"/>
        </w:trPr>
        <w:tc>
          <w:tcPr>
            <w:tcW w:w="2127" w:type="dxa"/>
          </w:tcPr>
          <w:p w14:paraId="257C4C57"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Agilidad</w:t>
            </w:r>
          </w:p>
        </w:tc>
        <w:tc>
          <w:tcPr>
            <w:tcW w:w="1842" w:type="dxa"/>
          </w:tcPr>
          <w:p w14:paraId="2C896944"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0.08</w:t>
            </w:r>
          </w:p>
        </w:tc>
        <w:tc>
          <w:tcPr>
            <w:tcW w:w="2720" w:type="dxa"/>
          </w:tcPr>
          <w:p w14:paraId="2E98305E"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-0.16</w:t>
            </w:r>
          </w:p>
        </w:tc>
        <w:tc>
          <w:tcPr>
            <w:tcW w:w="1675" w:type="dxa"/>
          </w:tcPr>
          <w:p w14:paraId="1F8457BF"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0.70</w:t>
            </w:r>
          </w:p>
        </w:tc>
      </w:tr>
      <w:tr w:rsidR="00214F3F" w:rsidRPr="004D3AAC" w14:paraId="41D41AB1" w14:textId="77777777" w:rsidTr="004D3AAC">
        <w:trPr>
          <w:trHeight w:val="20"/>
          <w:jc w:val="center"/>
        </w:trPr>
        <w:tc>
          <w:tcPr>
            <w:tcW w:w="2127" w:type="dxa"/>
          </w:tcPr>
          <w:p w14:paraId="7C23338B" w14:textId="77777777" w:rsidR="00214F3F" w:rsidRPr="004D3AAC" w:rsidRDefault="00214F3F" w:rsidP="004D3AAC">
            <w:pPr>
              <w:rPr>
                <w:rFonts w:ascii="Verdana" w:hAnsi="Verdana"/>
                <w:sz w:val="20"/>
                <w:szCs w:val="20"/>
                <w:lang w:val="es-CO"/>
              </w:rPr>
            </w:pPr>
            <w:r w:rsidRPr="004D3AAC">
              <w:rPr>
                <w:rFonts w:ascii="Verdana" w:hAnsi="Verdana"/>
                <w:sz w:val="20"/>
                <w:szCs w:val="20"/>
                <w:lang w:val="es-CO"/>
              </w:rPr>
              <w:t>R. Aeróbica</w:t>
            </w:r>
          </w:p>
        </w:tc>
        <w:tc>
          <w:tcPr>
            <w:tcW w:w="1842" w:type="dxa"/>
          </w:tcPr>
          <w:p w14:paraId="6D7D4D3C"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-0.01</w:t>
            </w:r>
          </w:p>
        </w:tc>
        <w:tc>
          <w:tcPr>
            <w:tcW w:w="2720" w:type="dxa"/>
          </w:tcPr>
          <w:p w14:paraId="7B08ECCE"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-0.03 a 0.00</w:t>
            </w:r>
          </w:p>
        </w:tc>
        <w:tc>
          <w:tcPr>
            <w:tcW w:w="1675" w:type="dxa"/>
          </w:tcPr>
          <w:p w14:paraId="20719E56" w14:textId="77777777" w:rsidR="00214F3F" w:rsidRPr="004D3AAC" w:rsidRDefault="00214F3F" w:rsidP="006E48A5">
            <w:pPr>
              <w:jc w:val="center"/>
              <w:rPr>
                <w:rFonts w:ascii="Verdana" w:hAnsi="Verdana"/>
                <w:sz w:val="20"/>
                <w:szCs w:val="20"/>
                <w:lang w:val="es-CO"/>
              </w:rPr>
            </w:pPr>
            <w:r w:rsidRPr="004D3AAC">
              <w:rPr>
                <w:rFonts w:ascii="Verdana" w:hAnsi="Verdana"/>
                <w:sz w:val="20"/>
                <w:szCs w:val="20"/>
                <w:lang w:val="es-CO"/>
              </w:rPr>
              <w:t>0.18</w:t>
            </w:r>
          </w:p>
        </w:tc>
      </w:tr>
    </w:tbl>
    <w:p w14:paraId="0110BCCA" w14:textId="77777777" w:rsidR="00214F3F" w:rsidRPr="006E48A5" w:rsidRDefault="00214F3F" w:rsidP="006E48A5">
      <w:pPr>
        <w:tabs>
          <w:tab w:val="left" w:pos="2655"/>
        </w:tabs>
        <w:rPr>
          <w:rFonts w:ascii="Verdana" w:hAnsi="Verdana"/>
          <w:sz w:val="20"/>
          <w:szCs w:val="20"/>
        </w:rPr>
      </w:pPr>
    </w:p>
    <w:p w14:paraId="6309DB68" w14:textId="4C06A9A3"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En la tabla 4, Riesgo de caídas ajustado a la edad e IMC, se observa, que, a mayor edad, IMC y resistencia de tren inferior, mayor riesgo de caídas (p&lt;</w:t>
      </w:r>
      <w:r w:rsidR="00D5740F">
        <w:rPr>
          <w:rFonts w:ascii="Verdana" w:hAnsi="Verdana"/>
          <w:sz w:val="20"/>
          <w:szCs w:val="20"/>
          <w:lang w:val="es-CO"/>
        </w:rPr>
        <w:t xml:space="preserve"> </w:t>
      </w:r>
      <w:r w:rsidRPr="007223C1">
        <w:rPr>
          <w:rFonts w:ascii="Verdana" w:hAnsi="Verdana"/>
          <w:sz w:val="20"/>
          <w:szCs w:val="20"/>
          <w:lang w:val="es-CO"/>
        </w:rPr>
        <w:t>0.05). Así mismo, a mayor agilidad menor riesgo de caídas p=</w:t>
      </w:r>
      <w:r w:rsidR="00D5740F">
        <w:rPr>
          <w:rFonts w:ascii="Verdana" w:hAnsi="Verdana"/>
          <w:sz w:val="20"/>
          <w:szCs w:val="20"/>
          <w:lang w:val="es-CO"/>
        </w:rPr>
        <w:t xml:space="preserve"> </w:t>
      </w:r>
      <w:r w:rsidRPr="007223C1">
        <w:rPr>
          <w:rFonts w:ascii="Verdana" w:hAnsi="Verdana"/>
          <w:sz w:val="20"/>
          <w:szCs w:val="20"/>
          <w:lang w:val="es-CO"/>
        </w:rPr>
        <w:t xml:space="preserve">0.000. </w:t>
      </w:r>
    </w:p>
    <w:p w14:paraId="0C3310AE" w14:textId="2B39193E" w:rsidR="00011243" w:rsidRDefault="00011243" w:rsidP="007223C1">
      <w:pPr>
        <w:spacing w:line="360" w:lineRule="auto"/>
        <w:jc w:val="both"/>
        <w:rPr>
          <w:rFonts w:ascii="Verdana" w:hAnsi="Verdana"/>
          <w:sz w:val="20"/>
          <w:szCs w:val="20"/>
          <w:lang w:val="es-CO"/>
        </w:rPr>
      </w:pPr>
    </w:p>
    <w:p w14:paraId="7882A511" w14:textId="77777777" w:rsidR="00F30D0B" w:rsidRPr="007223C1" w:rsidRDefault="00F30D0B" w:rsidP="00F30D0B">
      <w:pPr>
        <w:tabs>
          <w:tab w:val="left" w:pos="2655"/>
        </w:tabs>
        <w:spacing w:line="360" w:lineRule="auto"/>
        <w:rPr>
          <w:rFonts w:ascii="Verdana" w:hAnsi="Verdana"/>
          <w:sz w:val="20"/>
          <w:szCs w:val="20"/>
        </w:rPr>
      </w:pPr>
    </w:p>
    <w:p w14:paraId="47038240" w14:textId="60C10889" w:rsidR="00F30D0B" w:rsidRDefault="00F30D0B" w:rsidP="00F30D0B">
      <w:pPr>
        <w:tabs>
          <w:tab w:val="left" w:pos="2655"/>
        </w:tabs>
        <w:spacing w:line="360" w:lineRule="auto"/>
        <w:rPr>
          <w:rFonts w:ascii="Verdana" w:hAnsi="Verdana"/>
          <w:sz w:val="20"/>
          <w:szCs w:val="20"/>
        </w:rPr>
      </w:pPr>
    </w:p>
    <w:p w14:paraId="68715A17" w14:textId="5F9A1AE4" w:rsidR="00F30D0B" w:rsidRDefault="00F30D0B" w:rsidP="00F30D0B">
      <w:pPr>
        <w:tabs>
          <w:tab w:val="left" w:pos="2655"/>
        </w:tabs>
        <w:spacing w:line="360" w:lineRule="auto"/>
        <w:rPr>
          <w:rFonts w:ascii="Verdana" w:hAnsi="Verdana"/>
          <w:sz w:val="20"/>
          <w:szCs w:val="20"/>
        </w:rPr>
      </w:pPr>
    </w:p>
    <w:p w14:paraId="3606844E" w14:textId="77777777" w:rsidR="00F30D0B" w:rsidRPr="007223C1" w:rsidRDefault="00F30D0B" w:rsidP="00765CBA">
      <w:pPr>
        <w:tabs>
          <w:tab w:val="left" w:pos="2655"/>
        </w:tabs>
        <w:rPr>
          <w:rFonts w:ascii="Verdana" w:hAnsi="Verdana"/>
          <w:sz w:val="20"/>
          <w:szCs w:val="20"/>
        </w:rPr>
      </w:pPr>
    </w:p>
    <w:p w14:paraId="1852ADC8" w14:textId="77777777" w:rsidR="004D12A0" w:rsidRDefault="00F30D0B" w:rsidP="00765CBA">
      <w:pPr>
        <w:jc w:val="center"/>
        <w:rPr>
          <w:rFonts w:ascii="Verdana" w:hAnsi="Verdana"/>
          <w:sz w:val="20"/>
          <w:szCs w:val="20"/>
          <w:lang w:val="es-CO"/>
        </w:rPr>
      </w:pPr>
      <w:r w:rsidRPr="007223C1">
        <w:rPr>
          <w:rFonts w:ascii="Verdana" w:hAnsi="Verdana"/>
          <w:sz w:val="20"/>
          <w:szCs w:val="20"/>
          <w:lang w:val="es-CO"/>
        </w:rPr>
        <w:t>T</w:t>
      </w:r>
      <w:r w:rsidRPr="007223C1">
        <w:rPr>
          <w:rFonts w:ascii="Verdana" w:hAnsi="Verdana"/>
          <w:b/>
          <w:sz w:val="20"/>
          <w:szCs w:val="20"/>
          <w:lang w:val="es-CO"/>
        </w:rPr>
        <w:t xml:space="preserve">abla 4. </w:t>
      </w:r>
      <w:r w:rsidRPr="00F30D0B">
        <w:rPr>
          <w:rFonts w:ascii="Verdana" w:hAnsi="Verdana"/>
          <w:sz w:val="20"/>
          <w:szCs w:val="20"/>
          <w:lang w:val="es-CO"/>
        </w:rPr>
        <w:t xml:space="preserve">Riesgo de caídas ajustado por edad e IMC, asociado </w:t>
      </w:r>
    </w:p>
    <w:p w14:paraId="6CA89B80" w14:textId="31FED589" w:rsidR="00F30D0B" w:rsidRDefault="00F30D0B" w:rsidP="00765CBA">
      <w:pPr>
        <w:jc w:val="center"/>
        <w:rPr>
          <w:rFonts w:ascii="Verdana" w:hAnsi="Verdana"/>
          <w:sz w:val="20"/>
          <w:szCs w:val="20"/>
          <w:lang w:val="es-CO"/>
        </w:rPr>
      </w:pPr>
      <w:proofErr w:type="gramStart"/>
      <w:r w:rsidRPr="00F30D0B">
        <w:rPr>
          <w:rFonts w:ascii="Verdana" w:hAnsi="Verdana"/>
          <w:sz w:val="20"/>
          <w:szCs w:val="20"/>
          <w:lang w:val="es-CO"/>
        </w:rPr>
        <w:t>a</w:t>
      </w:r>
      <w:proofErr w:type="gramEnd"/>
      <w:r w:rsidRPr="00F30D0B">
        <w:rPr>
          <w:rFonts w:ascii="Verdana" w:hAnsi="Verdana"/>
          <w:sz w:val="20"/>
          <w:szCs w:val="20"/>
          <w:lang w:val="es-CO"/>
        </w:rPr>
        <w:t xml:space="preserve"> CFF</w:t>
      </w:r>
    </w:p>
    <w:p w14:paraId="4D28403C" w14:textId="77777777" w:rsidR="00F30D0B" w:rsidRPr="00F30D0B" w:rsidRDefault="00F30D0B" w:rsidP="00765CBA">
      <w:pPr>
        <w:jc w:val="center"/>
        <w:rPr>
          <w:rFonts w:ascii="Verdana" w:hAnsi="Verdana"/>
          <w:sz w:val="20"/>
          <w:szCs w:val="20"/>
          <w:lang w:val="es-CO"/>
        </w:rPr>
      </w:pPr>
    </w:p>
    <w:tbl>
      <w:tblPr>
        <w:tblStyle w:val="Estilo1"/>
        <w:tblW w:w="6904" w:type="dxa"/>
        <w:jc w:val="center"/>
        <w:tblLayout w:type="fixed"/>
        <w:tblLook w:val="04A0" w:firstRow="1" w:lastRow="0" w:firstColumn="1" w:lastColumn="0" w:noHBand="0" w:noVBand="1"/>
      </w:tblPr>
      <w:tblGrid>
        <w:gridCol w:w="2552"/>
        <w:gridCol w:w="1963"/>
        <w:gridCol w:w="2389"/>
      </w:tblGrid>
      <w:tr w:rsidR="00F30D0B" w:rsidRPr="007223C1" w14:paraId="431C1481" w14:textId="77777777" w:rsidTr="00765CBA">
        <w:trPr>
          <w:cnfStyle w:val="100000000000" w:firstRow="1" w:lastRow="0" w:firstColumn="0" w:lastColumn="0" w:oddVBand="0" w:evenVBand="0" w:oddHBand="0" w:evenHBand="0" w:firstRowFirstColumn="0" w:firstRowLastColumn="0" w:lastRowFirstColumn="0" w:lastRowLastColumn="0"/>
          <w:trHeight w:val="20"/>
          <w:jc w:val="center"/>
        </w:trPr>
        <w:tc>
          <w:tcPr>
            <w:tcW w:w="2552" w:type="dxa"/>
          </w:tcPr>
          <w:p w14:paraId="1B627DEE" w14:textId="77777777" w:rsidR="00F30D0B" w:rsidRPr="00765CBA" w:rsidRDefault="00F30D0B" w:rsidP="00765CBA">
            <w:pPr>
              <w:rPr>
                <w:rFonts w:ascii="Verdana" w:hAnsi="Verdana"/>
                <w:sz w:val="20"/>
                <w:szCs w:val="20"/>
                <w:lang w:val="es-CO"/>
              </w:rPr>
            </w:pPr>
            <w:r w:rsidRPr="00765CBA">
              <w:rPr>
                <w:rFonts w:ascii="Verdana" w:hAnsi="Verdana"/>
                <w:sz w:val="20"/>
                <w:szCs w:val="20"/>
                <w:lang w:val="es-CO"/>
              </w:rPr>
              <w:t>Variable</w:t>
            </w:r>
          </w:p>
        </w:tc>
        <w:tc>
          <w:tcPr>
            <w:tcW w:w="1968" w:type="dxa"/>
          </w:tcPr>
          <w:p w14:paraId="2C85D3D3" w14:textId="77777777" w:rsidR="00F30D0B" w:rsidRPr="00765CBA" w:rsidRDefault="00F30D0B" w:rsidP="00765CBA">
            <w:pPr>
              <w:jc w:val="center"/>
              <w:rPr>
                <w:rFonts w:ascii="Verdana" w:hAnsi="Verdana"/>
                <w:sz w:val="20"/>
                <w:szCs w:val="20"/>
                <w:lang w:val="es-CO"/>
              </w:rPr>
            </w:pPr>
            <w:r w:rsidRPr="00765CBA">
              <w:rPr>
                <w:rFonts w:ascii="Verdana" w:hAnsi="Verdana"/>
                <w:sz w:val="20"/>
                <w:szCs w:val="20"/>
                <w:lang w:val="es-CO"/>
              </w:rPr>
              <w:t>r</w:t>
            </w:r>
          </w:p>
        </w:tc>
        <w:tc>
          <w:tcPr>
            <w:tcW w:w="2384" w:type="dxa"/>
          </w:tcPr>
          <w:p w14:paraId="251C209E" w14:textId="77777777" w:rsidR="00F30D0B" w:rsidRPr="00765CBA" w:rsidRDefault="00F30D0B" w:rsidP="00765CBA">
            <w:pPr>
              <w:jc w:val="center"/>
              <w:rPr>
                <w:rFonts w:ascii="Verdana" w:hAnsi="Verdana"/>
                <w:sz w:val="20"/>
                <w:szCs w:val="20"/>
                <w:lang w:val="es-CO"/>
              </w:rPr>
            </w:pPr>
            <w:r w:rsidRPr="00765CBA">
              <w:rPr>
                <w:rFonts w:ascii="Verdana" w:hAnsi="Verdana"/>
                <w:sz w:val="20"/>
                <w:szCs w:val="20"/>
                <w:lang w:val="es-CO"/>
              </w:rPr>
              <w:t>P</w:t>
            </w:r>
          </w:p>
        </w:tc>
      </w:tr>
      <w:tr w:rsidR="00F30D0B" w:rsidRPr="007223C1" w14:paraId="03279041" w14:textId="77777777" w:rsidTr="00765CBA">
        <w:trPr>
          <w:trHeight w:val="20"/>
          <w:jc w:val="center"/>
        </w:trPr>
        <w:tc>
          <w:tcPr>
            <w:tcW w:w="2552" w:type="dxa"/>
          </w:tcPr>
          <w:p w14:paraId="274B812A"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Edad</w:t>
            </w:r>
          </w:p>
        </w:tc>
        <w:tc>
          <w:tcPr>
            <w:tcW w:w="1968" w:type="dxa"/>
          </w:tcPr>
          <w:p w14:paraId="16A6FC1B"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-0.22</w:t>
            </w:r>
          </w:p>
        </w:tc>
        <w:tc>
          <w:tcPr>
            <w:tcW w:w="2384" w:type="dxa"/>
          </w:tcPr>
          <w:p w14:paraId="1F22551A"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0.00</w:t>
            </w:r>
          </w:p>
        </w:tc>
      </w:tr>
      <w:tr w:rsidR="00F30D0B" w:rsidRPr="007223C1" w14:paraId="23C9F8A1" w14:textId="77777777" w:rsidTr="00765CBA">
        <w:trPr>
          <w:trHeight w:val="20"/>
          <w:jc w:val="center"/>
        </w:trPr>
        <w:tc>
          <w:tcPr>
            <w:tcW w:w="2552" w:type="dxa"/>
          </w:tcPr>
          <w:p w14:paraId="1FD5BDDF"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IMC</w:t>
            </w:r>
          </w:p>
        </w:tc>
        <w:tc>
          <w:tcPr>
            <w:tcW w:w="1968" w:type="dxa"/>
          </w:tcPr>
          <w:p w14:paraId="65E1C697"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-0.18</w:t>
            </w:r>
          </w:p>
        </w:tc>
        <w:tc>
          <w:tcPr>
            <w:tcW w:w="2384" w:type="dxa"/>
          </w:tcPr>
          <w:p w14:paraId="218C70A4"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0.00</w:t>
            </w:r>
          </w:p>
        </w:tc>
      </w:tr>
      <w:tr w:rsidR="00F30D0B" w:rsidRPr="007223C1" w14:paraId="5E8F4DE0" w14:textId="77777777" w:rsidTr="00765CBA">
        <w:trPr>
          <w:trHeight w:val="20"/>
          <w:jc w:val="center"/>
        </w:trPr>
        <w:tc>
          <w:tcPr>
            <w:tcW w:w="2552" w:type="dxa"/>
          </w:tcPr>
          <w:p w14:paraId="1654030B"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 xml:space="preserve">Flexibilidad </w:t>
            </w:r>
            <w:proofErr w:type="spellStart"/>
            <w:r w:rsidRPr="007223C1">
              <w:rPr>
                <w:rFonts w:ascii="Verdana" w:hAnsi="Verdana"/>
                <w:sz w:val="20"/>
                <w:szCs w:val="20"/>
                <w:lang w:val="es-CO"/>
              </w:rPr>
              <w:t>Inf</w:t>
            </w:r>
            <w:proofErr w:type="spellEnd"/>
            <w:r w:rsidRPr="007223C1">
              <w:rPr>
                <w:rFonts w:ascii="Verdana" w:hAnsi="Verdana"/>
                <w:sz w:val="20"/>
                <w:szCs w:val="20"/>
                <w:lang w:val="es-CO"/>
              </w:rPr>
              <w:t>.</w:t>
            </w:r>
          </w:p>
        </w:tc>
        <w:tc>
          <w:tcPr>
            <w:tcW w:w="1968" w:type="dxa"/>
          </w:tcPr>
          <w:p w14:paraId="30058C92"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-0,01</w:t>
            </w:r>
          </w:p>
        </w:tc>
        <w:tc>
          <w:tcPr>
            <w:tcW w:w="2384" w:type="dxa"/>
          </w:tcPr>
          <w:p w14:paraId="5FEE9321"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0.57</w:t>
            </w:r>
          </w:p>
        </w:tc>
      </w:tr>
      <w:tr w:rsidR="00F30D0B" w:rsidRPr="007223C1" w14:paraId="6DFFCDFB" w14:textId="77777777" w:rsidTr="00765CBA">
        <w:trPr>
          <w:trHeight w:val="20"/>
          <w:jc w:val="center"/>
        </w:trPr>
        <w:tc>
          <w:tcPr>
            <w:tcW w:w="2552" w:type="dxa"/>
          </w:tcPr>
          <w:p w14:paraId="3AAB7200"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 xml:space="preserve">Flexibilidad </w:t>
            </w:r>
            <w:proofErr w:type="spellStart"/>
            <w:r w:rsidRPr="007223C1">
              <w:rPr>
                <w:rFonts w:ascii="Verdana" w:hAnsi="Verdana"/>
                <w:sz w:val="20"/>
                <w:szCs w:val="20"/>
                <w:lang w:val="es-CO"/>
              </w:rPr>
              <w:t>Sup</w:t>
            </w:r>
            <w:proofErr w:type="spellEnd"/>
            <w:r w:rsidRPr="007223C1">
              <w:rPr>
                <w:rFonts w:ascii="Verdana" w:hAnsi="Verdana"/>
                <w:sz w:val="20"/>
                <w:szCs w:val="20"/>
                <w:lang w:val="es-CO"/>
              </w:rPr>
              <w:t>.</w:t>
            </w:r>
          </w:p>
        </w:tc>
        <w:tc>
          <w:tcPr>
            <w:tcW w:w="1968" w:type="dxa"/>
          </w:tcPr>
          <w:p w14:paraId="5E414BDB"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0.02</w:t>
            </w:r>
          </w:p>
        </w:tc>
        <w:tc>
          <w:tcPr>
            <w:tcW w:w="2384" w:type="dxa"/>
          </w:tcPr>
          <w:p w14:paraId="0A07F2F1"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0.49</w:t>
            </w:r>
          </w:p>
        </w:tc>
      </w:tr>
      <w:tr w:rsidR="00F30D0B" w:rsidRPr="007223C1" w14:paraId="59F712A8" w14:textId="77777777" w:rsidTr="00765CBA">
        <w:trPr>
          <w:trHeight w:val="20"/>
          <w:jc w:val="center"/>
        </w:trPr>
        <w:tc>
          <w:tcPr>
            <w:tcW w:w="2552" w:type="dxa"/>
          </w:tcPr>
          <w:p w14:paraId="098E0C80"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 xml:space="preserve">Fuerza </w:t>
            </w:r>
            <w:proofErr w:type="spellStart"/>
            <w:r w:rsidRPr="007223C1">
              <w:rPr>
                <w:rFonts w:ascii="Verdana" w:hAnsi="Verdana"/>
                <w:sz w:val="20"/>
                <w:szCs w:val="20"/>
                <w:lang w:val="es-CO"/>
              </w:rPr>
              <w:t>Sup</w:t>
            </w:r>
            <w:proofErr w:type="spellEnd"/>
            <w:r w:rsidRPr="007223C1">
              <w:rPr>
                <w:rFonts w:ascii="Verdana" w:hAnsi="Verdana"/>
                <w:sz w:val="20"/>
                <w:szCs w:val="20"/>
                <w:lang w:val="es-CO"/>
              </w:rPr>
              <w:t>.</w:t>
            </w:r>
          </w:p>
        </w:tc>
        <w:tc>
          <w:tcPr>
            <w:tcW w:w="1968" w:type="dxa"/>
          </w:tcPr>
          <w:p w14:paraId="298236C9"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- 0.09</w:t>
            </w:r>
          </w:p>
        </w:tc>
        <w:tc>
          <w:tcPr>
            <w:tcW w:w="2384" w:type="dxa"/>
          </w:tcPr>
          <w:p w14:paraId="037C7DE9"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0.05</w:t>
            </w:r>
          </w:p>
        </w:tc>
      </w:tr>
      <w:tr w:rsidR="00F30D0B" w:rsidRPr="007223C1" w14:paraId="4F0306B4" w14:textId="77777777" w:rsidTr="00765CBA">
        <w:trPr>
          <w:trHeight w:val="20"/>
          <w:jc w:val="center"/>
        </w:trPr>
        <w:tc>
          <w:tcPr>
            <w:tcW w:w="2552" w:type="dxa"/>
          </w:tcPr>
          <w:p w14:paraId="7693AE04"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 xml:space="preserve">Fuerza </w:t>
            </w:r>
            <w:proofErr w:type="spellStart"/>
            <w:r w:rsidRPr="007223C1">
              <w:rPr>
                <w:rFonts w:ascii="Verdana" w:hAnsi="Verdana"/>
                <w:sz w:val="20"/>
                <w:szCs w:val="20"/>
                <w:lang w:val="es-CO"/>
              </w:rPr>
              <w:t>Inf</w:t>
            </w:r>
            <w:proofErr w:type="spellEnd"/>
            <w:r w:rsidRPr="007223C1">
              <w:rPr>
                <w:rFonts w:ascii="Verdana" w:hAnsi="Verdana"/>
                <w:sz w:val="20"/>
                <w:szCs w:val="20"/>
                <w:lang w:val="es-CO"/>
              </w:rPr>
              <w:t>.</w:t>
            </w:r>
          </w:p>
        </w:tc>
        <w:tc>
          <w:tcPr>
            <w:tcW w:w="1968" w:type="dxa"/>
          </w:tcPr>
          <w:p w14:paraId="1A87BA61"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-0.17</w:t>
            </w:r>
          </w:p>
        </w:tc>
        <w:tc>
          <w:tcPr>
            <w:tcW w:w="2384" w:type="dxa"/>
          </w:tcPr>
          <w:p w14:paraId="6405D681"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0.00</w:t>
            </w:r>
          </w:p>
        </w:tc>
      </w:tr>
      <w:tr w:rsidR="00F30D0B" w:rsidRPr="007223C1" w14:paraId="1B77E6B2" w14:textId="77777777" w:rsidTr="00765CBA">
        <w:trPr>
          <w:trHeight w:val="20"/>
          <w:jc w:val="center"/>
        </w:trPr>
        <w:tc>
          <w:tcPr>
            <w:tcW w:w="2552" w:type="dxa"/>
          </w:tcPr>
          <w:p w14:paraId="4224FA30"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lastRenderedPageBreak/>
              <w:t>Agilidad</w:t>
            </w:r>
          </w:p>
        </w:tc>
        <w:tc>
          <w:tcPr>
            <w:tcW w:w="1968" w:type="dxa"/>
          </w:tcPr>
          <w:p w14:paraId="1F9ED244"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0.53</w:t>
            </w:r>
          </w:p>
        </w:tc>
        <w:tc>
          <w:tcPr>
            <w:tcW w:w="2384" w:type="dxa"/>
          </w:tcPr>
          <w:p w14:paraId="2AF5317A"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0.00</w:t>
            </w:r>
          </w:p>
        </w:tc>
      </w:tr>
      <w:tr w:rsidR="00F30D0B" w:rsidRPr="007223C1" w14:paraId="3318FD7A" w14:textId="77777777" w:rsidTr="00765CBA">
        <w:trPr>
          <w:trHeight w:val="20"/>
          <w:jc w:val="center"/>
        </w:trPr>
        <w:tc>
          <w:tcPr>
            <w:tcW w:w="2552" w:type="dxa"/>
          </w:tcPr>
          <w:p w14:paraId="61D9F82E" w14:textId="77777777" w:rsidR="00F30D0B" w:rsidRPr="007223C1" w:rsidRDefault="00F30D0B" w:rsidP="00765CBA">
            <w:pPr>
              <w:rPr>
                <w:rFonts w:ascii="Verdana" w:hAnsi="Verdana"/>
                <w:sz w:val="20"/>
                <w:szCs w:val="20"/>
                <w:lang w:val="es-CO"/>
              </w:rPr>
            </w:pPr>
            <w:r w:rsidRPr="007223C1">
              <w:rPr>
                <w:rFonts w:ascii="Verdana" w:hAnsi="Verdana"/>
                <w:sz w:val="20"/>
                <w:szCs w:val="20"/>
                <w:lang w:val="es-CO"/>
              </w:rPr>
              <w:t>R. Aeróbica</w:t>
            </w:r>
          </w:p>
        </w:tc>
        <w:tc>
          <w:tcPr>
            <w:tcW w:w="1968" w:type="dxa"/>
          </w:tcPr>
          <w:p w14:paraId="0212DB6D"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-0.01</w:t>
            </w:r>
          </w:p>
        </w:tc>
        <w:tc>
          <w:tcPr>
            <w:tcW w:w="2384" w:type="dxa"/>
          </w:tcPr>
          <w:p w14:paraId="2878887D" w14:textId="77777777" w:rsidR="00F30D0B" w:rsidRPr="007223C1" w:rsidRDefault="00F30D0B" w:rsidP="00765CBA">
            <w:pPr>
              <w:jc w:val="center"/>
              <w:rPr>
                <w:rFonts w:ascii="Verdana" w:hAnsi="Verdana"/>
                <w:sz w:val="20"/>
                <w:szCs w:val="20"/>
                <w:lang w:val="es-CO"/>
              </w:rPr>
            </w:pPr>
            <w:r w:rsidRPr="007223C1">
              <w:rPr>
                <w:rFonts w:ascii="Verdana" w:hAnsi="Verdana"/>
                <w:sz w:val="20"/>
                <w:szCs w:val="20"/>
                <w:lang w:val="es-CO"/>
              </w:rPr>
              <w:t>0.30</w:t>
            </w:r>
          </w:p>
        </w:tc>
      </w:tr>
    </w:tbl>
    <w:p w14:paraId="488A30E5" w14:textId="77777777" w:rsidR="00F30D0B" w:rsidRPr="007223C1" w:rsidRDefault="00F30D0B" w:rsidP="00765CBA">
      <w:pPr>
        <w:jc w:val="both"/>
        <w:rPr>
          <w:rFonts w:ascii="Verdana" w:hAnsi="Verdana"/>
          <w:sz w:val="20"/>
          <w:szCs w:val="20"/>
          <w:lang w:val="es-CO"/>
        </w:rPr>
      </w:pPr>
    </w:p>
    <w:p w14:paraId="2B0A4B16" w14:textId="77777777" w:rsidR="00011243" w:rsidRPr="007223C1" w:rsidRDefault="00011243" w:rsidP="007223C1">
      <w:pPr>
        <w:spacing w:line="360" w:lineRule="auto"/>
        <w:jc w:val="both"/>
        <w:rPr>
          <w:rFonts w:ascii="Verdana" w:hAnsi="Verdana"/>
          <w:sz w:val="20"/>
          <w:szCs w:val="20"/>
          <w:lang w:val="es-CO"/>
        </w:rPr>
      </w:pPr>
    </w:p>
    <w:p w14:paraId="44EF5EB0" w14:textId="77777777" w:rsidR="00011243" w:rsidRPr="007223C1" w:rsidRDefault="00624FB3" w:rsidP="007223C1">
      <w:pPr>
        <w:spacing w:line="360" w:lineRule="auto"/>
        <w:jc w:val="both"/>
        <w:rPr>
          <w:rFonts w:ascii="Verdana" w:hAnsi="Verdana"/>
          <w:b/>
          <w:sz w:val="20"/>
          <w:szCs w:val="20"/>
          <w:lang w:val="es-CO"/>
        </w:rPr>
      </w:pPr>
      <w:r w:rsidRPr="007223C1">
        <w:rPr>
          <w:rFonts w:ascii="Verdana" w:hAnsi="Verdana"/>
          <w:b/>
          <w:sz w:val="20"/>
          <w:szCs w:val="20"/>
          <w:lang w:val="es-CO"/>
        </w:rPr>
        <w:t>DISCUSIÓN</w:t>
      </w:r>
    </w:p>
    <w:p w14:paraId="44990E14" w14:textId="0E527A02"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 xml:space="preserve">Los resultados del presente estudio sugieren que un incremento del peso corporal o del IMC, se asocia a un menor puntaje de la escala </w:t>
      </w:r>
      <w:proofErr w:type="spellStart"/>
      <w:r w:rsidRPr="007223C1">
        <w:rPr>
          <w:rFonts w:ascii="Verdana" w:hAnsi="Verdana"/>
          <w:sz w:val="20"/>
          <w:szCs w:val="20"/>
          <w:lang w:val="es-CO"/>
        </w:rPr>
        <w:t>Tinneti</w:t>
      </w:r>
      <w:proofErr w:type="spellEnd"/>
      <w:r w:rsidRPr="007223C1">
        <w:rPr>
          <w:rFonts w:ascii="Verdana" w:hAnsi="Verdana"/>
          <w:sz w:val="20"/>
          <w:szCs w:val="20"/>
          <w:lang w:val="es-CO"/>
        </w:rPr>
        <w:t xml:space="preserve">, lo cual representa un mayor riesgo de caídas. </w:t>
      </w:r>
      <w:proofErr w:type="spellStart"/>
      <w:r w:rsidRPr="00076BDF">
        <w:rPr>
          <w:rFonts w:ascii="Verdana" w:hAnsi="Verdana"/>
          <w:i/>
          <w:color w:val="auto"/>
          <w:sz w:val="20"/>
          <w:szCs w:val="20"/>
          <w:lang w:val="es-CO"/>
        </w:rPr>
        <w:t>Himes</w:t>
      </w:r>
      <w:proofErr w:type="spellEnd"/>
      <w:r w:rsidRPr="007223C1">
        <w:rPr>
          <w:rFonts w:ascii="Verdana" w:hAnsi="Verdana"/>
          <w:color w:val="auto"/>
          <w:sz w:val="20"/>
          <w:szCs w:val="20"/>
          <w:lang w:val="es-CO"/>
        </w:rPr>
        <w:t xml:space="preserve"> </w:t>
      </w:r>
      <w:r w:rsidR="00076BDF">
        <w:rPr>
          <w:rFonts w:ascii="Verdana" w:hAnsi="Verdana"/>
          <w:color w:val="auto"/>
          <w:sz w:val="20"/>
          <w:szCs w:val="20"/>
          <w:lang w:val="es-CO"/>
        </w:rPr>
        <w:t>y colaboradores</w:t>
      </w:r>
      <w:r w:rsidRPr="007223C1">
        <w:rPr>
          <w:rFonts w:ascii="Verdana" w:hAnsi="Verdana"/>
          <w:color w:val="auto"/>
          <w:sz w:val="20"/>
          <w:szCs w:val="20"/>
          <w:lang w:val="es-CO"/>
        </w:rPr>
        <w:t>,</w:t>
      </w:r>
      <w:r w:rsidRPr="007223C1">
        <w:rPr>
          <w:rFonts w:ascii="Verdana" w:hAnsi="Verdana"/>
          <w:sz w:val="20"/>
          <w:szCs w:val="20"/>
          <w:lang w:val="es-CO"/>
        </w:rPr>
        <w:t xml:space="preserve"> identificaron que la ob</w:t>
      </w:r>
      <w:r w:rsidR="00C2252D" w:rsidRPr="007223C1">
        <w:rPr>
          <w:rFonts w:ascii="Verdana" w:hAnsi="Verdana"/>
          <w:sz w:val="20"/>
          <w:szCs w:val="20"/>
          <w:lang w:val="es-CO"/>
        </w:rPr>
        <w:t>esidad medida por medio del IMC</w:t>
      </w:r>
      <w:r w:rsidRPr="007223C1">
        <w:rPr>
          <w:rFonts w:ascii="Verdana" w:hAnsi="Verdana"/>
          <w:sz w:val="20"/>
          <w:szCs w:val="20"/>
          <w:lang w:val="es-CO"/>
        </w:rPr>
        <w:t xml:space="preserve"> está asociada a un incremento del riesgo de caídas y discapacidad. Lo anterior puede justificarse principalmente por la presencia de comorbilidades, como lo son, la artritis, dolor de piernas, diabetes y accidente cerebrovascular, estando presentes algunas de estas en los sujetos evaluados. </w:t>
      </w:r>
      <w:r w:rsidRPr="007223C1">
        <w:rPr>
          <w:rFonts w:ascii="Verdana" w:hAnsi="Verdana"/>
          <w:color w:val="auto"/>
          <w:sz w:val="20"/>
          <w:szCs w:val="20"/>
          <w:lang w:val="es-CO"/>
        </w:rPr>
        <w:t>Además, es importante referir que dentro de los estudios encontrados se indica que el IMC tiene u</w:t>
      </w:r>
      <w:r w:rsidRPr="007223C1">
        <w:rPr>
          <w:rFonts w:ascii="Verdana" w:hAnsi="Verdana"/>
          <w:sz w:val="20"/>
          <w:szCs w:val="20"/>
          <w:lang w:val="es-CO"/>
        </w:rPr>
        <w:t>na asociación directa con la perdida de funcionalidad, la cual se asocia con un incremento del riesgo de caídas</w:t>
      </w:r>
      <w:r w:rsidR="00200E0B">
        <w:rPr>
          <w:rFonts w:ascii="Verdana" w:hAnsi="Verdana"/>
          <w:sz w:val="20"/>
          <w:szCs w:val="20"/>
          <w:lang w:val="es-CO"/>
        </w:rPr>
        <w:t>.</w:t>
      </w:r>
      <w:r w:rsidR="00457B15" w:rsidRPr="00403528">
        <w:rPr>
          <w:rFonts w:ascii="Verdana" w:hAnsi="Verdana"/>
          <w:sz w:val="20"/>
          <w:szCs w:val="20"/>
          <w:vertAlign w:val="superscript"/>
          <w:lang w:val="es-CO"/>
        </w:rPr>
        <w:t>16-18</w:t>
      </w:r>
    </w:p>
    <w:p w14:paraId="3EBDEB22" w14:textId="77777777" w:rsidR="00011243" w:rsidRPr="007223C1" w:rsidRDefault="00011243" w:rsidP="007223C1">
      <w:pPr>
        <w:spacing w:line="360" w:lineRule="auto"/>
        <w:jc w:val="both"/>
        <w:rPr>
          <w:rFonts w:ascii="Verdana" w:hAnsi="Verdana"/>
          <w:sz w:val="20"/>
          <w:szCs w:val="20"/>
          <w:lang w:val="es-CO"/>
        </w:rPr>
      </w:pPr>
    </w:p>
    <w:p w14:paraId="16F25756" w14:textId="178E84F2" w:rsidR="00011243" w:rsidRPr="00596E4D" w:rsidRDefault="00624FB3" w:rsidP="007223C1">
      <w:pPr>
        <w:spacing w:line="360" w:lineRule="auto"/>
        <w:jc w:val="both"/>
        <w:rPr>
          <w:rFonts w:ascii="Verdana" w:hAnsi="Verdana"/>
          <w:color w:val="FF0000"/>
          <w:sz w:val="20"/>
          <w:szCs w:val="20"/>
          <w:vertAlign w:val="superscript"/>
          <w:lang w:val="es-CO"/>
        </w:rPr>
      </w:pPr>
      <w:r w:rsidRPr="007223C1">
        <w:rPr>
          <w:rFonts w:ascii="Verdana" w:hAnsi="Verdana"/>
          <w:sz w:val="20"/>
          <w:szCs w:val="20"/>
          <w:lang w:val="es-CO"/>
        </w:rPr>
        <w:t xml:space="preserve">Por otra parte, encontramos una asociación indirecta entre la edad y el puntaje de la escala de </w:t>
      </w:r>
      <w:proofErr w:type="spellStart"/>
      <w:r w:rsidRPr="007223C1">
        <w:rPr>
          <w:rFonts w:ascii="Verdana" w:hAnsi="Verdana"/>
          <w:sz w:val="20"/>
          <w:szCs w:val="20"/>
          <w:lang w:val="es-CO"/>
        </w:rPr>
        <w:t>Tinetti</w:t>
      </w:r>
      <w:proofErr w:type="spellEnd"/>
      <w:r w:rsidRPr="007223C1">
        <w:rPr>
          <w:rFonts w:ascii="Verdana" w:hAnsi="Verdana"/>
          <w:sz w:val="20"/>
          <w:szCs w:val="20"/>
          <w:lang w:val="es-CO"/>
        </w:rPr>
        <w:t>, lo cual se traduce en un aumento del riesgo de caídas. Lo anterior, es coherente con la literatura encontrada, la cual refiere que los cambios normales del proceso del envejecimiento como la disminución sensorial, m</w:t>
      </w:r>
      <w:r w:rsidR="00D83839" w:rsidRPr="007223C1">
        <w:rPr>
          <w:rFonts w:ascii="Verdana" w:hAnsi="Verdana"/>
          <w:sz w:val="20"/>
          <w:szCs w:val="20"/>
          <w:lang w:val="es-CO"/>
        </w:rPr>
        <w:t>odificaciones cardiovasculares,</w:t>
      </w:r>
      <w:r w:rsidRPr="007223C1">
        <w:rPr>
          <w:rFonts w:ascii="Verdana" w:hAnsi="Verdana"/>
          <w:sz w:val="20"/>
          <w:szCs w:val="20"/>
          <w:lang w:val="es-CO"/>
        </w:rPr>
        <w:t xml:space="preserve"> </w:t>
      </w:r>
      <w:r w:rsidR="00636EB2" w:rsidRPr="007223C1">
        <w:rPr>
          <w:rFonts w:ascii="Verdana" w:hAnsi="Verdana"/>
          <w:sz w:val="20"/>
          <w:szCs w:val="20"/>
          <w:lang w:val="es-CO"/>
        </w:rPr>
        <w:t>la pérdida de masa y</w:t>
      </w:r>
      <w:r w:rsidRPr="007223C1">
        <w:rPr>
          <w:rFonts w:ascii="Verdana" w:hAnsi="Verdana"/>
          <w:sz w:val="20"/>
          <w:szCs w:val="20"/>
          <w:lang w:val="es-CO"/>
        </w:rPr>
        <w:t xml:space="preserve"> función muscular, aumentan el riesgo de caídas</w:t>
      </w:r>
      <w:r w:rsidR="00596E4D">
        <w:rPr>
          <w:rFonts w:ascii="Verdana" w:hAnsi="Verdana"/>
          <w:sz w:val="20"/>
          <w:szCs w:val="20"/>
          <w:lang w:val="es-CO"/>
        </w:rPr>
        <w:t>.</w:t>
      </w:r>
      <w:r w:rsidR="00457B15" w:rsidRPr="00596E4D">
        <w:rPr>
          <w:rFonts w:ascii="Verdana" w:hAnsi="Verdana"/>
          <w:sz w:val="20"/>
          <w:szCs w:val="20"/>
          <w:vertAlign w:val="superscript"/>
          <w:lang w:val="es-CO"/>
        </w:rPr>
        <w:t>19-23</w:t>
      </w:r>
    </w:p>
    <w:p w14:paraId="6A0D4BDE" w14:textId="77777777" w:rsidR="00011243" w:rsidRPr="007223C1" w:rsidRDefault="00011243" w:rsidP="007223C1">
      <w:pPr>
        <w:spacing w:line="360" w:lineRule="auto"/>
        <w:jc w:val="both"/>
        <w:rPr>
          <w:rFonts w:ascii="Verdana" w:hAnsi="Verdana"/>
          <w:color w:val="FF0000"/>
          <w:sz w:val="20"/>
          <w:szCs w:val="20"/>
          <w:lang w:val="es-CO"/>
        </w:rPr>
      </w:pPr>
    </w:p>
    <w:p w14:paraId="1B246462" w14:textId="48C97C84"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Aunque la mayoría de los componentes de la condición física funcional se encuentran por encima de la media de acuerdo a la edad de la población, y el riesgo de caídas no es alto, es importante referir que se encontraron asociaciones importantes entre estos</w:t>
      </w:r>
      <w:r w:rsidR="0022477D">
        <w:rPr>
          <w:rFonts w:ascii="Verdana" w:hAnsi="Verdana"/>
          <w:sz w:val="20"/>
          <w:szCs w:val="20"/>
          <w:lang w:val="es-CO"/>
        </w:rPr>
        <w:t>.</w:t>
      </w:r>
      <w:r w:rsidR="009D5B96" w:rsidRPr="002D41B8">
        <w:rPr>
          <w:rFonts w:ascii="Verdana" w:hAnsi="Verdana"/>
          <w:sz w:val="20"/>
          <w:szCs w:val="20"/>
          <w:vertAlign w:val="superscript"/>
          <w:lang w:val="es-CO"/>
        </w:rPr>
        <w:t>13</w:t>
      </w:r>
      <w:r w:rsidR="0022477D">
        <w:rPr>
          <w:rFonts w:ascii="Verdana" w:hAnsi="Verdana"/>
          <w:sz w:val="20"/>
          <w:szCs w:val="20"/>
          <w:lang w:val="es-CO"/>
        </w:rPr>
        <w:t xml:space="preserve"> </w:t>
      </w:r>
      <w:r w:rsidRPr="007223C1">
        <w:rPr>
          <w:rFonts w:ascii="Verdana" w:hAnsi="Verdana"/>
          <w:sz w:val="20"/>
          <w:szCs w:val="20"/>
          <w:lang w:val="es-CO"/>
        </w:rPr>
        <w:t xml:space="preserve">Una de ellas fue: a mayor número de repeticiones del </w:t>
      </w:r>
      <w:proofErr w:type="spellStart"/>
      <w:r w:rsidRPr="007223C1">
        <w:rPr>
          <w:rFonts w:ascii="Verdana" w:hAnsi="Verdana"/>
          <w:sz w:val="20"/>
          <w:szCs w:val="20"/>
          <w:lang w:val="es-CO"/>
        </w:rPr>
        <w:t>Chair</w:t>
      </w:r>
      <w:proofErr w:type="spellEnd"/>
      <w:r w:rsidRPr="007223C1">
        <w:rPr>
          <w:rFonts w:ascii="Verdana" w:hAnsi="Verdana"/>
          <w:sz w:val="20"/>
          <w:szCs w:val="20"/>
          <w:lang w:val="es-CO"/>
        </w:rPr>
        <w:t xml:space="preserve"> Stand Test, mayor riesgo de caídas. Lo anterior, parece ir en contra de lo que la mayoría de estudios refieren, ya que existe evidencia de que la fuerza muscular se relaciona con el aumento de la funcionalidad de los adultos mayores, no obstante, hay que aclarar que la variable que mejor se asocia a la funcionalidad de esta población es la fuerza muscular pico</w:t>
      </w:r>
      <w:r w:rsidR="002D41B8">
        <w:rPr>
          <w:rFonts w:ascii="Verdana" w:hAnsi="Verdana"/>
          <w:sz w:val="20"/>
          <w:szCs w:val="20"/>
          <w:lang w:val="es-CO"/>
        </w:rPr>
        <w:t>.</w:t>
      </w:r>
      <w:r w:rsidR="00621179" w:rsidRPr="002D41B8">
        <w:rPr>
          <w:rFonts w:ascii="Verdana" w:hAnsi="Verdana"/>
          <w:sz w:val="20"/>
          <w:szCs w:val="20"/>
          <w:vertAlign w:val="superscript"/>
          <w:lang w:val="es-CO"/>
        </w:rPr>
        <w:t>24-26</w:t>
      </w:r>
    </w:p>
    <w:p w14:paraId="5E2BCA2F" w14:textId="77777777" w:rsidR="00011243" w:rsidRPr="007223C1" w:rsidRDefault="00011243" w:rsidP="007223C1">
      <w:pPr>
        <w:spacing w:line="360" w:lineRule="auto"/>
        <w:jc w:val="both"/>
        <w:rPr>
          <w:rFonts w:ascii="Verdana" w:hAnsi="Verdana"/>
          <w:sz w:val="20"/>
          <w:szCs w:val="20"/>
          <w:lang w:val="es-CO"/>
        </w:rPr>
      </w:pPr>
    </w:p>
    <w:p w14:paraId="50F84AF5" w14:textId="7EC9536A" w:rsidR="00011243" w:rsidRPr="007223C1" w:rsidRDefault="00624FB3" w:rsidP="007223C1">
      <w:pPr>
        <w:spacing w:line="360" w:lineRule="auto"/>
        <w:jc w:val="both"/>
        <w:rPr>
          <w:rStyle w:val="Refdenotaalpie"/>
          <w:rFonts w:ascii="Verdana" w:hAnsi="Verdana"/>
          <w:color w:val="FF0000"/>
          <w:sz w:val="20"/>
          <w:szCs w:val="20"/>
          <w:lang w:val="es-CO"/>
        </w:rPr>
      </w:pPr>
      <w:r w:rsidRPr="007223C1">
        <w:rPr>
          <w:rFonts w:ascii="Verdana" w:hAnsi="Verdana"/>
          <w:sz w:val="20"/>
          <w:szCs w:val="20"/>
          <w:lang w:val="es-CO"/>
        </w:rPr>
        <w:t xml:space="preserve">Teniendo en cuenta lo anterior y recordando que el protocolo de evaluación de fuerza utilizado tiene características que miden resistencia a la fuerza y no la fuerza pico, es posible inferir que el trabajo de la resistencia no sea relevante para disminuir el riesgo de caídas. Por lo anterior, vale la pena pensar en la posibilidad de medir la “fuerza pico” a través de la dinamometría, </w:t>
      </w:r>
      <w:r w:rsidR="003D7D8C" w:rsidRPr="007223C1">
        <w:rPr>
          <w:rFonts w:ascii="Verdana" w:hAnsi="Verdana"/>
          <w:sz w:val="20"/>
          <w:szCs w:val="20"/>
          <w:lang w:val="es-CO"/>
        </w:rPr>
        <w:t>la</w:t>
      </w:r>
      <w:r w:rsidRPr="007223C1">
        <w:rPr>
          <w:rFonts w:ascii="Verdana" w:hAnsi="Verdana"/>
          <w:sz w:val="20"/>
          <w:szCs w:val="20"/>
          <w:lang w:val="es-CO"/>
        </w:rPr>
        <w:t xml:space="preserve"> </w:t>
      </w:r>
      <w:r w:rsidR="003D7D8C" w:rsidRPr="007223C1">
        <w:rPr>
          <w:rFonts w:ascii="Verdana" w:hAnsi="Verdana"/>
          <w:sz w:val="20"/>
          <w:szCs w:val="20"/>
          <w:lang w:val="es-CO"/>
        </w:rPr>
        <w:t xml:space="preserve">cual </w:t>
      </w:r>
      <w:r w:rsidRPr="007223C1">
        <w:rPr>
          <w:rFonts w:ascii="Verdana" w:hAnsi="Verdana"/>
          <w:sz w:val="20"/>
          <w:szCs w:val="20"/>
          <w:lang w:val="es-CO"/>
        </w:rPr>
        <w:t xml:space="preserve">ha mostrado ser un buen indicador de funcionalidad, variable que se encuentra fuertemente </w:t>
      </w:r>
      <w:r w:rsidRPr="007223C1">
        <w:rPr>
          <w:rFonts w:ascii="Verdana" w:hAnsi="Verdana"/>
          <w:color w:val="auto"/>
          <w:sz w:val="20"/>
          <w:szCs w:val="20"/>
          <w:lang w:val="es-CO"/>
        </w:rPr>
        <w:t>asociada al riesgo de caída</w:t>
      </w:r>
      <w:r w:rsidR="00B25CB4">
        <w:rPr>
          <w:rFonts w:ascii="Verdana" w:hAnsi="Verdana"/>
          <w:color w:val="auto"/>
          <w:sz w:val="20"/>
          <w:szCs w:val="20"/>
          <w:lang w:val="es-CO"/>
        </w:rPr>
        <w:t>.</w:t>
      </w:r>
      <w:r w:rsidR="00621179" w:rsidRPr="00EF262A">
        <w:rPr>
          <w:rFonts w:ascii="Verdana" w:hAnsi="Verdana"/>
          <w:color w:val="auto"/>
          <w:sz w:val="20"/>
          <w:szCs w:val="20"/>
          <w:vertAlign w:val="superscript"/>
          <w:lang w:val="es-CO"/>
        </w:rPr>
        <w:t>26</w:t>
      </w:r>
      <w:proofErr w:type="gramStart"/>
      <w:r w:rsidR="009C618D">
        <w:rPr>
          <w:rFonts w:ascii="Verdana" w:hAnsi="Verdana"/>
          <w:color w:val="auto"/>
          <w:sz w:val="20"/>
          <w:szCs w:val="20"/>
          <w:vertAlign w:val="superscript"/>
          <w:lang w:val="es-CO"/>
        </w:rPr>
        <w:t>,</w:t>
      </w:r>
      <w:r w:rsidR="00621179" w:rsidRPr="00EF262A">
        <w:rPr>
          <w:rFonts w:ascii="Verdana" w:hAnsi="Verdana"/>
          <w:color w:val="auto"/>
          <w:sz w:val="20"/>
          <w:szCs w:val="20"/>
          <w:vertAlign w:val="superscript"/>
          <w:lang w:val="es-CO"/>
        </w:rPr>
        <w:t>27</w:t>
      </w:r>
      <w:proofErr w:type="gramEnd"/>
    </w:p>
    <w:p w14:paraId="606089B2" w14:textId="77777777" w:rsidR="00011243" w:rsidRPr="007223C1" w:rsidRDefault="00011243" w:rsidP="007223C1">
      <w:pPr>
        <w:spacing w:line="360" w:lineRule="auto"/>
        <w:jc w:val="both"/>
        <w:rPr>
          <w:rFonts w:ascii="Verdana" w:hAnsi="Verdana"/>
          <w:sz w:val="20"/>
          <w:szCs w:val="20"/>
          <w:lang w:val="es-CO"/>
        </w:rPr>
      </w:pPr>
    </w:p>
    <w:p w14:paraId="728F52B2" w14:textId="5A5773C1"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 xml:space="preserve">La relación directa encontrada entre agilidad y la escala </w:t>
      </w:r>
      <w:proofErr w:type="spellStart"/>
      <w:r w:rsidRPr="007223C1">
        <w:rPr>
          <w:rFonts w:ascii="Verdana" w:hAnsi="Verdana"/>
          <w:sz w:val="20"/>
          <w:szCs w:val="20"/>
          <w:lang w:val="es-CO"/>
        </w:rPr>
        <w:t>Tinetti</w:t>
      </w:r>
      <w:proofErr w:type="spellEnd"/>
      <w:r w:rsidRPr="007223C1">
        <w:rPr>
          <w:rFonts w:ascii="Verdana" w:hAnsi="Verdana"/>
          <w:sz w:val="20"/>
          <w:szCs w:val="20"/>
          <w:lang w:val="es-CO"/>
        </w:rPr>
        <w:t>, sugiere que, a mayor agilidad, menor riesgo de caídas. En este punto, es relevante resaltar que la potencia muscular es un determinante de la agilidad y ésta disminuye por la reducción de la masa del tejido muscular “</w:t>
      </w:r>
      <w:proofErr w:type="spellStart"/>
      <w:r w:rsidRPr="007223C1">
        <w:rPr>
          <w:rFonts w:ascii="Verdana" w:hAnsi="Verdana"/>
          <w:sz w:val="20"/>
          <w:szCs w:val="20"/>
          <w:lang w:val="es-CO"/>
        </w:rPr>
        <w:t>sarcopenia</w:t>
      </w:r>
      <w:proofErr w:type="spellEnd"/>
      <w:r w:rsidRPr="007223C1">
        <w:rPr>
          <w:rFonts w:ascii="Verdana" w:hAnsi="Verdana"/>
          <w:sz w:val="20"/>
          <w:szCs w:val="20"/>
          <w:lang w:val="es-CO"/>
        </w:rPr>
        <w:t>”. En el adulto mayor la potencia se pierde más rápido que la fuerza o resistencia muscular, además la primera se asocia de forma más significativa con la capacidad funcional y el riesgo de caídas</w:t>
      </w:r>
      <w:r w:rsidR="00EF262A">
        <w:rPr>
          <w:rFonts w:ascii="Verdana" w:hAnsi="Verdana"/>
          <w:sz w:val="20"/>
          <w:szCs w:val="20"/>
          <w:lang w:val="es-CO"/>
        </w:rPr>
        <w:t>.</w:t>
      </w:r>
      <w:r w:rsidR="00141903" w:rsidRPr="00EF262A">
        <w:rPr>
          <w:rFonts w:ascii="Verdana" w:hAnsi="Verdana"/>
          <w:sz w:val="20"/>
          <w:szCs w:val="20"/>
          <w:vertAlign w:val="superscript"/>
          <w:lang w:val="es-CO"/>
        </w:rPr>
        <w:t>27</w:t>
      </w:r>
      <w:proofErr w:type="gramStart"/>
      <w:r w:rsidR="009C618D">
        <w:rPr>
          <w:rFonts w:ascii="Verdana" w:hAnsi="Verdana"/>
          <w:sz w:val="20"/>
          <w:szCs w:val="20"/>
          <w:vertAlign w:val="superscript"/>
          <w:lang w:val="es-CO"/>
        </w:rPr>
        <w:t>,</w:t>
      </w:r>
      <w:r w:rsidR="00141903" w:rsidRPr="00EF262A">
        <w:rPr>
          <w:rFonts w:ascii="Verdana" w:hAnsi="Verdana"/>
          <w:sz w:val="20"/>
          <w:szCs w:val="20"/>
          <w:vertAlign w:val="superscript"/>
          <w:lang w:val="es-CO"/>
        </w:rPr>
        <w:t>28</w:t>
      </w:r>
      <w:proofErr w:type="gramEnd"/>
    </w:p>
    <w:p w14:paraId="7F64591E" w14:textId="77777777" w:rsidR="00011243" w:rsidRPr="007223C1" w:rsidRDefault="00011243" w:rsidP="007223C1">
      <w:pPr>
        <w:spacing w:line="360" w:lineRule="auto"/>
        <w:jc w:val="both"/>
        <w:rPr>
          <w:rFonts w:ascii="Verdana" w:hAnsi="Verdana"/>
          <w:sz w:val="20"/>
          <w:szCs w:val="20"/>
          <w:lang w:val="es-CO"/>
        </w:rPr>
      </w:pPr>
    </w:p>
    <w:p w14:paraId="47BBC7D0" w14:textId="178A9C56" w:rsidR="00011243" w:rsidRPr="007223C1" w:rsidRDefault="00624FB3" w:rsidP="007223C1">
      <w:pPr>
        <w:spacing w:line="360" w:lineRule="auto"/>
        <w:jc w:val="both"/>
        <w:rPr>
          <w:rFonts w:ascii="Verdana" w:hAnsi="Verdana"/>
          <w:color w:val="auto"/>
          <w:sz w:val="20"/>
          <w:szCs w:val="20"/>
          <w:lang w:val="es-CO"/>
        </w:rPr>
      </w:pPr>
      <w:r w:rsidRPr="007223C1">
        <w:rPr>
          <w:rFonts w:ascii="Verdana" w:hAnsi="Verdana"/>
          <w:sz w:val="20"/>
          <w:szCs w:val="20"/>
          <w:lang w:val="es-CO"/>
        </w:rPr>
        <w:t xml:space="preserve">De acuerdo a lo anterior se puede sugerir el trabajo de fuerza muscular acompañado de algunos de altas velocidades dirigidos a mejorar la potencia muscular, lo cual mejora la velocidad al caminar, habilidad para levantarse de una silla, el equilibrio y reduce la incidencia de caídas, como lo refiere </w:t>
      </w:r>
      <w:proofErr w:type="spellStart"/>
      <w:r w:rsidRPr="00076BDF">
        <w:rPr>
          <w:rFonts w:ascii="Verdana" w:hAnsi="Verdana"/>
          <w:i/>
          <w:color w:val="auto"/>
          <w:sz w:val="20"/>
          <w:szCs w:val="20"/>
          <w:lang w:val="es-CO"/>
        </w:rPr>
        <w:t>Cadore</w:t>
      </w:r>
      <w:proofErr w:type="spellEnd"/>
      <w:r w:rsidRPr="007223C1">
        <w:rPr>
          <w:rFonts w:ascii="Verdana" w:hAnsi="Verdana"/>
          <w:color w:val="auto"/>
          <w:sz w:val="20"/>
          <w:szCs w:val="20"/>
          <w:lang w:val="es-CO"/>
        </w:rPr>
        <w:t xml:space="preserve"> y </w:t>
      </w:r>
      <w:r w:rsidRPr="00076BDF">
        <w:rPr>
          <w:rFonts w:ascii="Verdana" w:hAnsi="Verdana"/>
          <w:i/>
          <w:color w:val="auto"/>
          <w:sz w:val="20"/>
          <w:szCs w:val="20"/>
          <w:lang w:val="es-CO"/>
        </w:rPr>
        <w:t>Cols</w:t>
      </w:r>
      <w:r w:rsidR="00EF262A">
        <w:rPr>
          <w:rFonts w:ascii="Verdana" w:hAnsi="Verdana"/>
          <w:i/>
          <w:color w:val="auto"/>
          <w:sz w:val="20"/>
          <w:szCs w:val="20"/>
          <w:lang w:val="es-CO"/>
        </w:rPr>
        <w:t>.</w:t>
      </w:r>
      <w:r w:rsidR="00EF262A" w:rsidRPr="00EF262A">
        <w:rPr>
          <w:rFonts w:ascii="Verdana" w:hAnsi="Verdana"/>
          <w:color w:val="auto"/>
          <w:sz w:val="20"/>
          <w:szCs w:val="20"/>
          <w:vertAlign w:val="superscript"/>
          <w:lang w:val="es-CO"/>
        </w:rPr>
        <w:t>28</w:t>
      </w:r>
    </w:p>
    <w:p w14:paraId="779DACC4" w14:textId="07EC7B31" w:rsidR="009F4D0E" w:rsidRDefault="009F4D0E" w:rsidP="007223C1">
      <w:pPr>
        <w:spacing w:line="360" w:lineRule="auto"/>
        <w:jc w:val="both"/>
        <w:rPr>
          <w:rFonts w:ascii="Verdana" w:hAnsi="Verdana"/>
          <w:b/>
          <w:sz w:val="20"/>
          <w:szCs w:val="20"/>
          <w:lang w:val="es-CO"/>
        </w:rPr>
      </w:pPr>
    </w:p>
    <w:p w14:paraId="163EC0E0" w14:textId="77777777" w:rsidR="00076BDF" w:rsidRPr="007223C1" w:rsidRDefault="00076BDF" w:rsidP="007223C1">
      <w:pPr>
        <w:spacing w:line="360" w:lineRule="auto"/>
        <w:jc w:val="both"/>
        <w:rPr>
          <w:rFonts w:ascii="Verdana" w:hAnsi="Verdana"/>
          <w:b/>
          <w:sz w:val="20"/>
          <w:szCs w:val="20"/>
          <w:lang w:val="es-CO"/>
        </w:rPr>
      </w:pPr>
    </w:p>
    <w:p w14:paraId="70325116" w14:textId="08DE2248" w:rsidR="00011243" w:rsidRPr="007223C1" w:rsidRDefault="00076BDF" w:rsidP="007223C1">
      <w:pPr>
        <w:spacing w:line="360" w:lineRule="auto"/>
        <w:jc w:val="both"/>
        <w:rPr>
          <w:rFonts w:ascii="Verdana" w:hAnsi="Verdana"/>
          <w:b/>
          <w:sz w:val="20"/>
          <w:szCs w:val="20"/>
          <w:lang w:val="es-CO"/>
        </w:rPr>
      </w:pPr>
      <w:r>
        <w:rPr>
          <w:rFonts w:ascii="Verdana" w:hAnsi="Verdana"/>
          <w:b/>
          <w:sz w:val="20"/>
          <w:szCs w:val="20"/>
          <w:lang w:val="es-CO"/>
        </w:rPr>
        <w:t>CONSIDERACIONES FINALES</w:t>
      </w:r>
    </w:p>
    <w:p w14:paraId="078545B1" w14:textId="74E1A6FD" w:rsidR="00011243" w:rsidRPr="007223C1" w:rsidRDefault="00624FB3" w:rsidP="007223C1">
      <w:pPr>
        <w:spacing w:line="360" w:lineRule="auto"/>
        <w:jc w:val="both"/>
        <w:rPr>
          <w:rFonts w:ascii="Verdana" w:hAnsi="Verdana"/>
          <w:sz w:val="20"/>
          <w:szCs w:val="20"/>
          <w:lang w:val="es-CO"/>
        </w:rPr>
      </w:pPr>
      <w:r w:rsidRPr="007223C1">
        <w:rPr>
          <w:rFonts w:ascii="Verdana" w:hAnsi="Verdana"/>
          <w:sz w:val="20"/>
          <w:szCs w:val="20"/>
          <w:lang w:val="es-CO"/>
        </w:rPr>
        <w:t>En el grupo poblacional evaluado se encontró que la mayoría de los componentes de la condición física están por encima del promedio excepto flexibilidad. En esta población el riesgo de caídas fue mínimo, aunque es necesario controlar el peso y el IMC y promover el entrenamiento de fuerza y potencia muscular, lo que puede suponer una disminución en la incidencia de caídas. Para próximos estudios se sugiere el registro del consumo de medicamentos, con el fin de descartar la influencia de estos en la condición física funcional y el riesgo de caídas.</w:t>
      </w:r>
    </w:p>
    <w:p w14:paraId="09D3EF70" w14:textId="77777777" w:rsidR="00EC5051" w:rsidRPr="007223C1" w:rsidRDefault="00EC5051" w:rsidP="007223C1">
      <w:pPr>
        <w:spacing w:line="360" w:lineRule="auto"/>
        <w:jc w:val="both"/>
        <w:rPr>
          <w:rFonts w:ascii="Verdana" w:hAnsi="Verdana"/>
          <w:b/>
          <w:sz w:val="20"/>
          <w:szCs w:val="20"/>
          <w:lang w:val="es-CO"/>
        </w:rPr>
      </w:pPr>
    </w:p>
    <w:p w14:paraId="2A80D440" w14:textId="7959229F" w:rsidR="00E35DEB" w:rsidRPr="007223C1" w:rsidRDefault="00DD4526" w:rsidP="007223C1">
      <w:pPr>
        <w:spacing w:line="360" w:lineRule="auto"/>
        <w:jc w:val="both"/>
        <w:rPr>
          <w:rFonts w:ascii="Verdana" w:hAnsi="Verdana"/>
          <w:b/>
          <w:sz w:val="20"/>
          <w:szCs w:val="20"/>
          <w:lang w:val="es-CO"/>
        </w:rPr>
      </w:pPr>
      <w:r>
        <w:rPr>
          <w:rFonts w:ascii="Verdana" w:hAnsi="Verdana"/>
          <w:b/>
          <w:sz w:val="20"/>
          <w:szCs w:val="20"/>
          <w:lang w:val="es-CO"/>
        </w:rPr>
        <w:t>Consideraciones éticas</w:t>
      </w:r>
    </w:p>
    <w:p w14:paraId="63503F29" w14:textId="77777777" w:rsidR="00DD4526" w:rsidRDefault="00E35DEB" w:rsidP="007223C1">
      <w:pPr>
        <w:spacing w:line="360" w:lineRule="auto"/>
        <w:jc w:val="both"/>
        <w:rPr>
          <w:rFonts w:ascii="Verdana" w:hAnsi="Verdana"/>
          <w:sz w:val="20"/>
          <w:szCs w:val="20"/>
          <w:lang w:val="es-CO"/>
        </w:rPr>
      </w:pPr>
      <w:r w:rsidRPr="007223C1">
        <w:rPr>
          <w:rFonts w:ascii="Verdana" w:hAnsi="Verdana"/>
          <w:sz w:val="20"/>
          <w:szCs w:val="20"/>
          <w:lang w:val="es-CO"/>
        </w:rPr>
        <w:t>Protección de personas: Los autores declaran que los procedimientos seguidos se conformaron a las normas éticas de la RESOLUCION Nº 008430 DE 1993 del Ministerio de Salud, que reglamentan las investigaciones según tres categorías, el presente trabajo se enmarca en las investigaciones de Riesgo mínimo.</w:t>
      </w:r>
    </w:p>
    <w:p w14:paraId="1ECF43A9" w14:textId="7F8F1534" w:rsidR="00011243" w:rsidRPr="007223C1" w:rsidRDefault="00E35DEB" w:rsidP="007223C1">
      <w:pPr>
        <w:spacing w:line="360" w:lineRule="auto"/>
        <w:jc w:val="both"/>
        <w:rPr>
          <w:rFonts w:ascii="Verdana" w:hAnsi="Verdana"/>
          <w:sz w:val="20"/>
          <w:szCs w:val="20"/>
          <w:lang w:val="es-CO"/>
        </w:rPr>
      </w:pPr>
      <w:r w:rsidRPr="00DD4526">
        <w:rPr>
          <w:rFonts w:ascii="Verdana" w:hAnsi="Verdana"/>
          <w:sz w:val="20"/>
          <w:szCs w:val="20"/>
          <w:lang w:val="es-CO"/>
        </w:rPr>
        <w:t xml:space="preserve">Derecho a la privacidad y consentimiento informado: </w:t>
      </w:r>
      <w:r w:rsidRPr="007223C1">
        <w:rPr>
          <w:rFonts w:ascii="Verdana" w:hAnsi="Verdana"/>
          <w:sz w:val="20"/>
          <w:szCs w:val="20"/>
          <w:lang w:val="es-CO"/>
        </w:rPr>
        <w:t>Los autores han obtenido el consentimiento informado de los sujetos referidos en el artículo.</w:t>
      </w:r>
    </w:p>
    <w:p w14:paraId="4869C08D" w14:textId="535598CD" w:rsidR="00590B36" w:rsidRPr="007223C1" w:rsidRDefault="00590B36" w:rsidP="007223C1">
      <w:pPr>
        <w:spacing w:line="360" w:lineRule="auto"/>
        <w:jc w:val="both"/>
        <w:rPr>
          <w:rFonts w:ascii="Verdana" w:hAnsi="Verdana"/>
          <w:b/>
          <w:sz w:val="20"/>
          <w:szCs w:val="20"/>
        </w:rPr>
      </w:pPr>
    </w:p>
    <w:p w14:paraId="314A665B" w14:textId="77777777" w:rsidR="00977E2A" w:rsidRPr="007223C1" w:rsidRDefault="00977E2A" w:rsidP="007223C1">
      <w:pPr>
        <w:spacing w:line="360" w:lineRule="auto"/>
        <w:rPr>
          <w:rFonts w:ascii="Verdana" w:hAnsi="Verdana"/>
          <w:b/>
          <w:sz w:val="20"/>
          <w:szCs w:val="20"/>
        </w:rPr>
      </w:pPr>
      <w:proofErr w:type="spellStart"/>
      <w:r w:rsidRPr="007223C1">
        <w:rPr>
          <w:rFonts w:ascii="Verdana" w:hAnsi="Verdana"/>
          <w:b/>
          <w:sz w:val="20"/>
          <w:szCs w:val="20"/>
        </w:rPr>
        <w:t>Declaración</w:t>
      </w:r>
      <w:proofErr w:type="spellEnd"/>
      <w:r w:rsidRPr="007223C1">
        <w:rPr>
          <w:rFonts w:ascii="Verdana" w:hAnsi="Verdana"/>
          <w:b/>
          <w:sz w:val="20"/>
          <w:szCs w:val="20"/>
        </w:rPr>
        <w:t xml:space="preserve"> de </w:t>
      </w:r>
      <w:proofErr w:type="spellStart"/>
      <w:r w:rsidRPr="007223C1">
        <w:rPr>
          <w:rFonts w:ascii="Verdana" w:hAnsi="Verdana"/>
          <w:b/>
          <w:sz w:val="20"/>
          <w:szCs w:val="20"/>
        </w:rPr>
        <w:t>conflicto</w:t>
      </w:r>
      <w:proofErr w:type="spellEnd"/>
      <w:r w:rsidRPr="007223C1">
        <w:rPr>
          <w:rFonts w:ascii="Verdana" w:hAnsi="Verdana"/>
          <w:b/>
          <w:sz w:val="20"/>
          <w:szCs w:val="20"/>
        </w:rPr>
        <w:t xml:space="preserve"> de </w:t>
      </w:r>
      <w:proofErr w:type="spellStart"/>
      <w:r w:rsidRPr="007223C1">
        <w:rPr>
          <w:rFonts w:ascii="Verdana" w:hAnsi="Verdana"/>
          <w:b/>
          <w:sz w:val="20"/>
          <w:szCs w:val="20"/>
        </w:rPr>
        <w:t>intereses</w:t>
      </w:r>
      <w:proofErr w:type="spellEnd"/>
    </w:p>
    <w:p w14:paraId="0E457206" w14:textId="77777777" w:rsidR="00977E2A" w:rsidRPr="007223C1" w:rsidRDefault="00977E2A" w:rsidP="007223C1">
      <w:pPr>
        <w:spacing w:line="360" w:lineRule="auto"/>
        <w:rPr>
          <w:rFonts w:ascii="Verdana" w:hAnsi="Verdana"/>
          <w:sz w:val="20"/>
          <w:szCs w:val="20"/>
        </w:rPr>
      </w:pPr>
      <w:r w:rsidRPr="007223C1">
        <w:rPr>
          <w:rFonts w:ascii="Verdana" w:hAnsi="Verdana"/>
          <w:sz w:val="20"/>
          <w:szCs w:val="20"/>
        </w:rPr>
        <w:t xml:space="preserve">Los </w:t>
      </w:r>
      <w:proofErr w:type="spellStart"/>
      <w:r w:rsidRPr="007223C1">
        <w:rPr>
          <w:rFonts w:ascii="Verdana" w:hAnsi="Verdana"/>
          <w:sz w:val="20"/>
          <w:szCs w:val="20"/>
        </w:rPr>
        <w:t>autores</w:t>
      </w:r>
      <w:proofErr w:type="spellEnd"/>
      <w:r w:rsidRPr="007223C1">
        <w:rPr>
          <w:rFonts w:ascii="Verdana" w:hAnsi="Verdana"/>
          <w:sz w:val="20"/>
          <w:szCs w:val="20"/>
        </w:rPr>
        <w:t xml:space="preserve"> </w:t>
      </w:r>
      <w:proofErr w:type="spellStart"/>
      <w:r w:rsidRPr="007223C1">
        <w:rPr>
          <w:rFonts w:ascii="Verdana" w:hAnsi="Verdana"/>
          <w:sz w:val="20"/>
          <w:szCs w:val="20"/>
        </w:rPr>
        <w:t>declaran</w:t>
      </w:r>
      <w:proofErr w:type="spellEnd"/>
      <w:r w:rsidRPr="007223C1">
        <w:rPr>
          <w:rFonts w:ascii="Verdana" w:hAnsi="Verdana"/>
          <w:sz w:val="20"/>
          <w:szCs w:val="20"/>
        </w:rPr>
        <w:t xml:space="preserve"> </w:t>
      </w:r>
      <w:proofErr w:type="spellStart"/>
      <w:r w:rsidRPr="007223C1">
        <w:rPr>
          <w:rFonts w:ascii="Verdana" w:hAnsi="Verdana"/>
          <w:sz w:val="20"/>
          <w:szCs w:val="20"/>
        </w:rPr>
        <w:t>que</w:t>
      </w:r>
      <w:proofErr w:type="spellEnd"/>
      <w:r w:rsidRPr="007223C1">
        <w:rPr>
          <w:rFonts w:ascii="Verdana" w:hAnsi="Verdana"/>
          <w:sz w:val="20"/>
          <w:szCs w:val="20"/>
        </w:rPr>
        <w:t xml:space="preserve"> no </w:t>
      </w:r>
      <w:proofErr w:type="spellStart"/>
      <w:r w:rsidRPr="007223C1">
        <w:rPr>
          <w:rFonts w:ascii="Verdana" w:hAnsi="Verdana"/>
          <w:sz w:val="20"/>
          <w:szCs w:val="20"/>
        </w:rPr>
        <w:t>existe</w:t>
      </w:r>
      <w:proofErr w:type="spellEnd"/>
      <w:r w:rsidRPr="007223C1">
        <w:rPr>
          <w:rFonts w:ascii="Verdana" w:hAnsi="Verdana"/>
          <w:sz w:val="20"/>
          <w:szCs w:val="20"/>
        </w:rPr>
        <w:t xml:space="preserve"> </w:t>
      </w:r>
      <w:proofErr w:type="spellStart"/>
      <w:r w:rsidRPr="007223C1">
        <w:rPr>
          <w:rFonts w:ascii="Verdana" w:hAnsi="Verdana"/>
          <w:sz w:val="20"/>
          <w:szCs w:val="20"/>
        </w:rPr>
        <w:t>conflicto</w:t>
      </w:r>
      <w:proofErr w:type="spellEnd"/>
      <w:r w:rsidRPr="007223C1">
        <w:rPr>
          <w:rFonts w:ascii="Verdana" w:hAnsi="Verdana"/>
          <w:sz w:val="20"/>
          <w:szCs w:val="20"/>
        </w:rPr>
        <w:t xml:space="preserve"> de </w:t>
      </w:r>
      <w:proofErr w:type="spellStart"/>
      <w:r w:rsidRPr="007223C1">
        <w:rPr>
          <w:rFonts w:ascii="Verdana" w:hAnsi="Verdana"/>
          <w:sz w:val="20"/>
          <w:szCs w:val="20"/>
        </w:rPr>
        <w:t>interés</w:t>
      </w:r>
      <w:proofErr w:type="spellEnd"/>
      <w:r w:rsidRPr="007223C1">
        <w:rPr>
          <w:rFonts w:ascii="Verdana" w:hAnsi="Verdana"/>
          <w:sz w:val="20"/>
          <w:szCs w:val="20"/>
        </w:rPr>
        <w:t>.</w:t>
      </w:r>
    </w:p>
    <w:p w14:paraId="15D3D2DB" w14:textId="7A4CE1FD" w:rsidR="00977E2A" w:rsidRPr="007223C1" w:rsidRDefault="00977E2A" w:rsidP="007223C1">
      <w:pPr>
        <w:spacing w:line="360" w:lineRule="auto"/>
        <w:jc w:val="both"/>
        <w:rPr>
          <w:rFonts w:ascii="Verdana" w:hAnsi="Verdana"/>
          <w:b/>
          <w:sz w:val="20"/>
          <w:szCs w:val="20"/>
        </w:rPr>
      </w:pPr>
    </w:p>
    <w:p w14:paraId="72869D38" w14:textId="43E9D53E" w:rsidR="0026245A" w:rsidRDefault="0026245A">
      <w:pPr>
        <w:widowControl/>
        <w:spacing w:after="160" w:line="259" w:lineRule="auto"/>
        <w:rPr>
          <w:rFonts w:ascii="Verdana" w:hAnsi="Verdana"/>
          <w:b/>
          <w:sz w:val="20"/>
          <w:szCs w:val="20"/>
        </w:rPr>
      </w:pPr>
      <w:r>
        <w:rPr>
          <w:rFonts w:ascii="Verdana" w:hAnsi="Verdana"/>
          <w:b/>
          <w:sz w:val="20"/>
          <w:szCs w:val="20"/>
        </w:rPr>
        <w:br w:type="page"/>
      </w:r>
    </w:p>
    <w:p w14:paraId="7CA68B0E" w14:textId="77777777" w:rsidR="00977E2A" w:rsidRPr="007223C1" w:rsidRDefault="00977E2A" w:rsidP="007223C1">
      <w:pPr>
        <w:spacing w:line="360" w:lineRule="auto"/>
        <w:jc w:val="both"/>
        <w:rPr>
          <w:rFonts w:ascii="Verdana" w:hAnsi="Verdana"/>
          <w:b/>
          <w:sz w:val="20"/>
          <w:szCs w:val="20"/>
        </w:rPr>
      </w:pPr>
    </w:p>
    <w:p w14:paraId="737C7636" w14:textId="6881256B" w:rsidR="00011243" w:rsidRPr="007223C1" w:rsidRDefault="00BB374F" w:rsidP="007223C1">
      <w:pPr>
        <w:spacing w:line="360" w:lineRule="auto"/>
        <w:jc w:val="both"/>
        <w:rPr>
          <w:rFonts w:ascii="Verdana" w:hAnsi="Verdana"/>
          <w:b/>
          <w:sz w:val="20"/>
          <w:szCs w:val="20"/>
        </w:rPr>
      </w:pPr>
      <w:r w:rsidRPr="007223C1">
        <w:rPr>
          <w:rFonts w:ascii="Verdana" w:hAnsi="Verdana"/>
          <w:b/>
          <w:sz w:val="20"/>
          <w:szCs w:val="20"/>
        </w:rPr>
        <w:t xml:space="preserve">REFERENCIAS BIBLIOGRÁFICAS </w:t>
      </w:r>
    </w:p>
    <w:p w14:paraId="43CA4BFD" w14:textId="2A3AAE63" w:rsidR="00A730ED" w:rsidRPr="007223C1" w:rsidRDefault="00A730ED" w:rsidP="007223C1">
      <w:pPr>
        <w:widowControl/>
        <w:numPr>
          <w:ilvl w:val="0"/>
          <w:numId w:val="1"/>
        </w:numPr>
        <w:spacing w:line="360" w:lineRule="auto"/>
        <w:ind w:left="0"/>
        <w:jc w:val="both"/>
        <w:rPr>
          <w:rFonts w:ascii="Verdana" w:hAnsi="Verdana"/>
          <w:sz w:val="20"/>
          <w:szCs w:val="20"/>
          <w:lang w:val="es-CO"/>
        </w:rPr>
      </w:pPr>
      <w:r w:rsidRPr="007223C1">
        <w:rPr>
          <w:rFonts w:ascii="Verdana" w:hAnsi="Verdana"/>
          <w:sz w:val="20"/>
          <w:szCs w:val="20"/>
        </w:rPr>
        <w:t xml:space="preserve">Blair SN, Kohl HW, </w:t>
      </w:r>
      <w:proofErr w:type="spellStart"/>
      <w:r w:rsidRPr="007223C1">
        <w:rPr>
          <w:rFonts w:ascii="Verdana" w:hAnsi="Verdana"/>
          <w:sz w:val="20"/>
          <w:szCs w:val="20"/>
        </w:rPr>
        <w:t>Paffenbarger</w:t>
      </w:r>
      <w:proofErr w:type="spellEnd"/>
      <w:r w:rsidRPr="007223C1">
        <w:rPr>
          <w:rFonts w:ascii="Verdana" w:hAnsi="Verdana"/>
          <w:sz w:val="20"/>
          <w:szCs w:val="20"/>
        </w:rPr>
        <w:t xml:space="preserve"> RS, Clark DG, Cooper KH, Gibbons LW</w:t>
      </w:r>
      <w:r w:rsidR="00BD3DD3">
        <w:rPr>
          <w:rFonts w:ascii="Verdana" w:hAnsi="Verdana"/>
          <w:sz w:val="20"/>
          <w:szCs w:val="20"/>
        </w:rPr>
        <w:t>, et al</w:t>
      </w:r>
      <w:r w:rsidRPr="007223C1">
        <w:rPr>
          <w:rFonts w:ascii="Verdana" w:hAnsi="Verdana"/>
          <w:sz w:val="20"/>
          <w:szCs w:val="20"/>
        </w:rPr>
        <w:t xml:space="preserve">. Physical fitness and all-cause mortality. A prospective study of healthy men and women. </w:t>
      </w:r>
      <w:r w:rsidRPr="007223C1">
        <w:rPr>
          <w:rFonts w:ascii="Verdana" w:hAnsi="Verdana"/>
          <w:sz w:val="20"/>
          <w:szCs w:val="20"/>
          <w:lang w:val="es-CO"/>
        </w:rPr>
        <w:t>JAMA. 1989:3</w:t>
      </w:r>
      <w:proofErr w:type="gramStart"/>
      <w:r w:rsidRPr="007223C1">
        <w:rPr>
          <w:rFonts w:ascii="Verdana" w:hAnsi="Verdana"/>
          <w:sz w:val="20"/>
          <w:szCs w:val="20"/>
          <w:lang w:val="es-CO"/>
        </w:rPr>
        <w:t>;262</w:t>
      </w:r>
      <w:proofErr w:type="gramEnd"/>
      <w:r w:rsidRPr="007223C1">
        <w:rPr>
          <w:rFonts w:ascii="Verdana" w:hAnsi="Verdana"/>
          <w:sz w:val="20"/>
          <w:szCs w:val="20"/>
          <w:lang w:val="es-CO"/>
        </w:rPr>
        <w:t>(17):2395-401.</w:t>
      </w:r>
    </w:p>
    <w:p w14:paraId="451E6AFA" w14:textId="7B85DCFA" w:rsidR="00A730ED" w:rsidRPr="007223C1" w:rsidRDefault="00A730ED" w:rsidP="007223C1">
      <w:pPr>
        <w:widowControl/>
        <w:numPr>
          <w:ilvl w:val="0"/>
          <w:numId w:val="1"/>
        </w:numPr>
        <w:spacing w:line="360" w:lineRule="auto"/>
        <w:ind w:left="0"/>
        <w:jc w:val="both"/>
        <w:rPr>
          <w:rFonts w:ascii="Verdana" w:hAnsi="Verdana"/>
          <w:sz w:val="20"/>
          <w:szCs w:val="20"/>
          <w:lang w:val="es-CO"/>
        </w:rPr>
      </w:pPr>
      <w:r w:rsidRPr="007223C1">
        <w:rPr>
          <w:rFonts w:ascii="Verdana" w:hAnsi="Verdana"/>
          <w:sz w:val="20"/>
          <w:szCs w:val="20"/>
          <w:lang w:val="es-CO"/>
        </w:rPr>
        <w:t>Sánchez J, Angarita A, Parra J. Participación en un programa de acondicionamiento físico y capacidad funcional en sujetos sometidos a angioplastia por síndrome coronario agudo. Fisioterapia. 2015</w:t>
      </w:r>
      <w:r w:rsidR="00D979BC">
        <w:rPr>
          <w:rFonts w:ascii="Verdana" w:hAnsi="Verdana"/>
          <w:sz w:val="20"/>
          <w:szCs w:val="20"/>
          <w:lang w:val="es-CO"/>
        </w:rPr>
        <w:t>:</w:t>
      </w:r>
      <w:r w:rsidRPr="007223C1">
        <w:rPr>
          <w:rFonts w:ascii="Verdana" w:hAnsi="Verdana"/>
          <w:sz w:val="20"/>
          <w:szCs w:val="20"/>
          <w:lang w:val="es-CO"/>
        </w:rPr>
        <w:t>37(3)</w:t>
      </w:r>
      <w:proofErr w:type="gramStart"/>
      <w:r w:rsidR="00D979BC">
        <w:rPr>
          <w:rFonts w:ascii="Verdana" w:hAnsi="Verdana"/>
          <w:sz w:val="20"/>
          <w:szCs w:val="20"/>
          <w:lang w:val="es-CO"/>
        </w:rPr>
        <w:t>;</w:t>
      </w:r>
      <w:r w:rsidRPr="007223C1">
        <w:rPr>
          <w:rFonts w:ascii="Verdana" w:hAnsi="Verdana"/>
          <w:sz w:val="20"/>
          <w:szCs w:val="20"/>
          <w:lang w:val="es-CO"/>
        </w:rPr>
        <w:t>112</w:t>
      </w:r>
      <w:proofErr w:type="gramEnd"/>
      <w:r w:rsidRPr="007223C1">
        <w:rPr>
          <w:rFonts w:ascii="Verdana" w:hAnsi="Verdana"/>
          <w:sz w:val="20"/>
          <w:szCs w:val="20"/>
          <w:lang w:val="es-CO"/>
        </w:rPr>
        <w:t>-9.</w:t>
      </w:r>
    </w:p>
    <w:p w14:paraId="08CFEEA1" w14:textId="781550D5" w:rsidR="00011243" w:rsidRPr="007223C1" w:rsidRDefault="00624FB3" w:rsidP="007223C1">
      <w:pPr>
        <w:widowControl/>
        <w:numPr>
          <w:ilvl w:val="0"/>
          <w:numId w:val="1"/>
        </w:numPr>
        <w:spacing w:line="360" w:lineRule="auto"/>
        <w:ind w:left="0"/>
        <w:jc w:val="both"/>
        <w:rPr>
          <w:rFonts w:ascii="Verdana" w:hAnsi="Verdana"/>
          <w:sz w:val="20"/>
          <w:szCs w:val="20"/>
          <w:lang w:val="es-CO"/>
        </w:rPr>
      </w:pPr>
      <w:r w:rsidRPr="007223C1">
        <w:rPr>
          <w:rFonts w:ascii="Verdana" w:hAnsi="Verdana"/>
          <w:sz w:val="20"/>
          <w:szCs w:val="20"/>
          <w:lang w:val="es-CO"/>
        </w:rPr>
        <w:t xml:space="preserve">Castellanos J, Gómez D, Guerrero C. Condición física funcional de adultos mayores de centros día, vida, promoción y protección integral, Manizales. </w:t>
      </w:r>
      <w:r w:rsidRPr="007223C1">
        <w:rPr>
          <w:rFonts w:ascii="Verdana" w:eastAsiaTheme="minorHAnsi" w:hAnsi="Verdana"/>
          <w:color w:val="auto"/>
          <w:sz w:val="20"/>
          <w:szCs w:val="20"/>
          <w:lang w:val="es-CO"/>
        </w:rPr>
        <w:t xml:space="preserve">Hacia promoción de la salud. [Internet]. 2017 [citado </w:t>
      </w:r>
      <w:r w:rsidRPr="007223C1">
        <w:rPr>
          <w:rFonts w:ascii="Verdana" w:hAnsi="Verdana"/>
          <w:sz w:val="20"/>
          <w:szCs w:val="20"/>
          <w:lang w:val="es-CO"/>
        </w:rPr>
        <w:t>23 feb 2018]</w:t>
      </w:r>
      <w:proofErr w:type="gramStart"/>
      <w:r w:rsidRPr="007223C1">
        <w:rPr>
          <w:rFonts w:ascii="Verdana" w:hAnsi="Verdana"/>
          <w:sz w:val="20"/>
          <w:szCs w:val="20"/>
          <w:lang w:val="es-CO"/>
        </w:rPr>
        <w:t>;</w:t>
      </w:r>
      <w:r w:rsidRPr="007223C1">
        <w:rPr>
          <w:rFonts w:ascii="Verdana" w:eastAsiaTheme="minorHAnsi" w:hAnsi="Verdana"/>
          <w:color w:val="auto"/>
          <w:sz w:val="20"/>
          <w:szCs w:val="20"/>
          <w:lang w:val="es-CO"/>
        </w:rPr>
        <w:t>22</w:t>
      </w:r>
      <w:proofErr w:type="gramEnd"/>
      <w:r w:rsidRPr="007223C1">
        <w:rPr>
          <w:rFonts w:ascii="Verdana" w:eastAsiaTheme="minorHAnsi" w:hAnsi="Verdana"/>
          <w:color w:val="auto"/>
          <w:sz w:val="20"/>
          <w:szCs w:val="20"/>
          <w:lang w:val="es-CO"/>
        </w:rPr>
        <w:t xml:space="preserve">(2):84-98. Disponible en:  </w:t>
      </w:r>
      <w:hyperlink r:id="rId7" w:history="1">
        <w:r w:rsidRPr="007223C1">
          <w:rPr>
            <w:rFonts w:ascii="Verdana" w:hAnsi="Verdana"/>
            <w:color w:val="0563C1" w:themeColor="hyperlink"/>
            <w:sz w:val="20"/>
            <w:szCs w:val="20"/>
            <w:u w:val="single"/>
            <w:lang w:val="es-CO"/>
          </w:rPr>
          <w:t>http://www.scielo.org.co/pdf/hpsal/v22n2/0121-7577-hpsal-22-02-00084.pdf</w:t>
        </w:r>
      </w:hyperlink>
    </w:p>
    <w:p w14:paraId="2C025774" w14:textId="39DD1537" w:rsidR="00011243" w:rsidRPr="007223C1" w:rsidRDefault="00624FB3" w:rsidP="007223C1">
      <w:pPr>
        <w:keepNext/>
        <w:widowControl/>
        <w:numPr>
          <w:ilvl w:val="0"/>
          <w:numId w:val="1"/>
        </w:numPr>
        <w:shd w:val="clear" w:color="auto" w:fill="FFFFFF"/>
        <w:spacing w:line="360" w:lineRule="auto"/>
        <w:ind w:left="0"/>
        <w:jc w:val="both"/>
        <w:rPr>
          <w:rFonts w:ascii="Verdana" w:hAnsi="Verdana"/>
          <w:sz w:val="20"/>
          <w:szCs w:val="20"/>
          <w:lang w:val="es-CO"/>
        </w:rPr>
      </w:pPr>
      <w:r w:rsidRPr="007223C1">
        <w:rPr>
          <w:rFonts w:ascii="Verdana" w:hAnsi="Verdana"/>
          <w:sz w:val="20"/>
          <w:szCs w:val="20"/>
          <w:lang w:val="es-CO"/>
        </w:rPr>
        <w:t xml:space="preserve">Ministerio de salud y protección social. Ley 1276 de 2009. A través de la cual se modifica la ley 687 del 15 de agosto de 2001 y se establecen nuevos lineamientos del adulto mayor en los centros de vida. </w:t>
      </w:r>
      <w:r w:rsidR="003E2386">
        <w:rPr>
          <w:rFonts w:ascii="Verdana" w:hAnsi="Verdana"/>
          <w:sz w:val="20"/>
          <w:szCs w:val="20"/>
        </w:rPr>
        <w:t>Bogotá;</w:t>
      </w:r>
      <w:r w:rsidRPr="007223C1">
        <w:rPr>
          <w:rFonts w:ascii="Verdana" w:hAnsi="Verdana"/>
          <w:sz w:val="20"/>
          <w:szCs w:val="20"/>
        </w:rPr>
        <w:t xml:space="preserve"> 2009. </w:t>
      </w:r>
      <w:r w:rsidR="0030208E">
        <w:rPr>
          <w:rFonts w:ascii="Verdana" w:hAnsi="Verdana"/>
          <w:sz w:val="20"/>
          <w:szCs w:val="20"/>
        </w:rPr>
        <w:t>p</w:t>
      </w:r>
      <w:r w:rsidR="003E2386">
        <w:rPr>
          <w:rFonts w:ascii="Verdana" w:hAnsi="Verdana"/>
          <w:sz w:val="20"/>
          <w:szCs w:val="20"/>
        </w:rPr>
        <w:t>. 14.</w:t>
      </w:r>
    </w:p>
    <w:p w14:paraId="70E1C31F" w14:textId="4DB88CEB" w:rsidR="00011243" w:rsidRPr="007223C1" w:rsidRDefault="00624FB3" w:rsidP="007223C1">
      <w:pPr>
        <w:keepNext/>
        <w:widowControl/>
        <w:numPr>
          <w:ilvl w:val="0"/>
          <w:numId w:val="1"/>
        </w:numPr>
        <w:shd w:val="clear" w:color="auto" w:fill="FFFFFF"/>
        <w:spacing w:line="360" w:lineRule="auto"/>
        <w:ind w:left="0"/>
        <w:jc w:val="both"/>
        <w:rPr>
          <w:rFonts w:ascii="Verdana" w:hAnsi="Verdana"/>
          <w:sz w:val="20"/>
          <w:szCs w:val="20"/>
          <w:lang w:val="es-CO"/>
        </w:rPr>
      </w:pPr>
      <w:proofErr w:type="spellStart"/>
      <w:r w:rsidRPr="007223C1">
        <w:rPr>
          <w:rFonts w:ascii="Verdana" w:hAnsi="Verdana"/>
          <w:sz w:val="20"/>
          <w:szCs w:val="20"/>
        </w:rPr>
        <w:t>Sjöström</w:t>
      </w:r>
      <w:proofErr w:type="spellEnd"/>
      <w:r w:rsidRPr="007223C1">
        <w:rPr>
          <w:rFonts w:ascii="Verdana" w:hAnsi="Verdana"/>
          <w:sz w:val="20"/>
          <w:szCs w:val="20"/>
        </w:rPr>
        <w:t xml:space="preserve"> M, </w:t>
      </w:r>
      <w:proofErr w:type="spellStart"/>
      <w:r w:rsidRPr="007223C1">
        <w:rPr>
          <w:rFonts w:ascii="Verdana" w:hAnsi="Verdana"/>
          <w:sz w:val="20"/>
          <w:szCs w:val="20"/>
        </w:rPr>
        <w:t>Oja</w:t>
      </w:r>
      <w:proofErr w:type="spellEnd"/>
      <w:r w:rsidRPr="007223C1">
        <w:rPr>
          <w:rFonts w:ascii="Verdana" w:hAnsi="Verdana"/>
          <w:sz w:val="20"/>
          <w:szCs w:val="20"/>
        </w:rPr>
        <w:t xml:space="preserve"> P, </w:t>
      </w:r>
      <w:proofErr w:type="spellStart"/>
      <w:r w:rsidRPr="007223C1">
        <w:rPr>
          <w:rFonts w:ascii="Verdana" w:hAnsi="Verdana"/>
          <w:sz w:val="20"/>
          <w:szCs w:val="20"/>
        </w:rPr>
        <w:t>Hagströmer</w:t>
      </w:r>
      <w:proofErr w:type="spellEnd"/>
      <w:r w:rsidRPr="007223C1">
        <w:rPr>
          <w:rFonts w:ascii="Verdana" w:hAnsi="Verdana"/>
          <w:sz w:val="20"/>
          <w:szCs w:val="20"/>
        </w:rPr>
        <w:t xml:space="preserve"> M, Smith BJ, Bauman A. Health-enhancing physical activity across European Union countries: the </w:t>
      </w:r>
      <w:proofErr w:type="spellStart"/>
      <w:r w:rsidRPr="007223C1">
        <w:rPr>
          <w:rFonts w:ascii="Verdana" w:hAnsi="Verdana"/>
          <w:sz w:val="20"/>
          <w:szCs w:val="20"/>
        </w:rPr>
        <w:t>Eurobarometer</w:t>
      </w:r>
      <w:proofErr w:type="spellEnd"/>
      <w:r w:rsidRPr="007223C1">
        <w:rPr>
          <w:rFonts w:ascii="Verdana" w:hAnsi="Verdana"/>
          <w:sz w:val="20"/>
          <w:szCs w:val="20"/>
        </w:rPr>
        <w:t xml:space="preserve"> study. </w:t>
      </w:r>
      <w:proofErr w:type="spellStart"/>
      <w:r w:rsidRPr="007223C1">
        <w:rPr>
          <w:rFonts w:ascii="Verdana" w:hAnsi="Verdana"/>
          <w:sz w:val="20"/>
          <w:szCs w:val="20"/>
          <w:lang w:val="es-CO"/>
        </w:rPr>
        <w:t>Journal</w:t>
      </w:r>
      <w:proofErr w:type="spellEnd"/>
      <w:r w:rsidRPr="007223C1">
        <w:rPr>
          <w:rFonts w:ascii="Verdana" w:hAnsi="Verdana"/>
          <w:sz w:val="20"/>
          <w:szCs w:val="20"/>
          <w:lang w:val="es-CO"/>
        </w:rPr>
        <w:t xml:space="preserve"> of </w:t>
      </w:r>
      <w:proofErr w:type="spellStart"/>
      <w:r w:rsidRPr="007223C1">
        <w:rPr>
          <w:rFonts w:ascii="Verdana" w:hAnsi="Verdana"/>
          <w:sz w:val="20"/>
          <w:szCs w:val="20"/>
          <w:lang w:val="es-CO"/>
        </w:rPr>
        <w:t>Public</w:t>
      </w:r>
      <w:proofErr w:type="spellEnd"/>
      <w:r w:rsidRPr="007223C1">
        <w:rPr>
          <w:rFonts w:ascii="Verdana" w:hAnsi="Verdana"/>
          <w:sz w:val="20"/>
          <w:szCs w:val="20"/>
          <w:lang w:val="es-CO"/>
        </w:rPr>
        <w:t xml:space="preserve"> </w:t>
      </w:r>
      <w:proofErr w:type="spellStart"/>
      <w:r w:rsidRPr="007223C1">
        <w:rPr>
          <w:rFonts w:ascii="Verdana" w:hAnsi="Verdana"/>
          <w:sz w:val="20"/>
          <w:szCs w:val="20"/>
          <w:lang w:val="es-CO"/>
        </w:rPr>
        <w:t>Health</w:t>
      </w:r>
      <w:proofErr w:type="spellEnd"/>
      <w:r w:rsidRPr="007223C1">
        <w:rPr>
          <w:rFonts w:ascii="Verdana" w:hAnsi="Verdana"/>
          <w:sz w:val="20"/>
          <w:szCs w:val="20"/>
          <w:lang w:val="es-CO"/>
        </w:rPr>
        <w:t>. 2006</w:t>
      </w:r>
      <w:proofErr w:type="gramStart"/>
      <w:r w:rsidR="00972D88">
        <w:rPr>
          <w:rFonts w:ascii="Verdana" w:hAnsi="Verdana"/>
          <w:sz w:val="20"/>
          <w:szCs w:val="20"/>
          <w:lang w:val="es-CO"/>
        </w:rPr>
        <w:t>;</w:t>
      </w:r>
      <w:r w:rsidRPr="007223C1">
        <w:rPr>
          <w:rFonts w:ascii="Verdana" w:hAnsi="Verdana"/>
          <w:sz w:val="20"/>
          <w:szCs w:val="20"/>
          <w:lang w:val="es-CO"/>
        </w:rPr>
        <w:t>14</w:t>
      </w:r>
      <w:proofErr w:type="gramEnd"/>
      <w:r w:rsidRPr="007223C1">
        <w:rPr>
          <w:rFonts w:ascii="Verdana" w:hAnsi="Verdana"/>
          <w:sz w:val="20"/>
          <w:szCs w:val="20"/>
          <w:lang w:val="es-CO"/>
        </w:rPr>
        <w:t>(5):291</w:t>
      </w:r>
      <w:r w:rsidR="00972D88">
        <w:rPr>
          <w:rFonts w:ascii="Verdana" w:hAnsi="Verdana"/>
          <w:sz w:val="20"/>
          <w:szCs w:val="20"/>
          <w:lang w:val="es-CO"/>
        </w:rPr>
        <w:t>–</w:t>
      </w:r>
      <w:r w:rsidRPr="007223C1">
        <w:rPr>
          <w:rFonts w:ascii="Verdana" w:hAnsi="Verdana"/>
          <w:sz w:val="20"/>
          <w:szCs w:val="20"/>
          <w:lang w:val="es-CO"/>
        </w:rPr>
        <w:t xml:space="preserve">300. </w:t>
      </w:r>
    </w:p>
    <w:p w14:paraId="20076F21" w14:textId="4F295678" w:rsidR="00011243" w:rsidRPr="007223C1" w:rsidRDefault="00624FB3" w:rsidP="007223C1">
      <w:pPr>
        <w:keepNext/>
        <w:widowControl/>
        <w:numPr>
          <w:ilvl w:val="0"/>
          <w:numId w:val="1"/>
        </w:numPr>
        <w:shd w:val="clear" w:color="auto" w:fill="FFFFFF"/>
        <w:spacing w:line="360" w:lineRule="auto"/>
        <w:ind w:left="0"/>
        <w:jc w:val="both"/>
        <w:rPr>
          <w:rFonts w:ascii="Verdana" w:hAnsi="Verdana"/>
          <w:sz w:val="20"/>
          <w:szCs w:val="20"/>
          <w:lang w:val="es-CO"/>
        </w:rPr>
      </w:pPr>
      <w:r w:rsidRPr="007223C1">
        <w:rPr>
          <w:rFonts w:ascii="Verdana" w:hAnsi="Verdana"/>
          <w:sz w:val="20"/>
          <w:szCs w:val="20"/>
          <w:lang w:val="es-CO"/>
        </w:rPr>
        <w:t xml:space="preserve">Novelo H. Situación </w:t>
      </w:r>
      <w:proofErr w:type="gramStart"/>
      <w:r w:rsidRPr="007223C1">
        <w:rPr>
          <w:rFonts w:ascii="Verdana" w:hAnsi="Verdana"/>
          <w:sz w:val="20"/>
          <w:szCs w:val="20"/>
          <w:lang w:val="es-CO"/>
        </w:rPr>
        <w:t>epidemiológica y demográfica</w:t>
      </w:r>
      <w:proofErr w:type="gramEnd"/>
      <w:r w:rsidRPr="007223C1">
        <w:rPr>
          <w:rFonts w:ascii="Verdana" w:hAnsi="Verdana"/>
          <w:sz w:val="20"/>
          <w:szCs w:val="20"/>
          <w:lang w:val="es-CO"/>
        </w:rPr>
        <w:t xml:space="preserve"> del adulto mayor en la última década. XVII Congreso Nacional de Ammfen.1ed, México: Editorial Panamericana</w:t>
      </w:r>
      <w:r w:rsidR="0023461D">
        <w:rPr>
          <w:rFonts w:ascii="Verdana" w:hAnsi="Verdana"/>
          <w:sz w:val="20"/>
          <w:szCs w:val="20"/>
          <w:lang w:val="es-CO"/>
        </w:rPr>
        <w:t>;</w:t>
      </w:r>
      <w:r w:rsidRPr="007223C1">
        <w:rPr>
          <w:rFonts w:ascii="Verdana" w:hAnsi="Verdana"/>
          <w:sz w:val="20"/>
          <w:szCs w:val="20"/>
          <w:lang w:val="es-CO"/>
        </w:rPr>
        <w:t xml:space="preserve"> 2003.</w:t>
      </w:r>
      <w:r w:rsidR="0023461D">
        <w:rPr>
          <w:rFonts w:ascii="Verdana" w:hAnsi="Verdana"/>
          <w:sz w:val="20"/>
          <w:szCs w:val="20"/>
          <w:lang w:val="es-CO"/>
        </w:rPr>
        <w:t xml:space="preserve"> </w:t>
      </w:r>
      <w:r w:rsidRPr="007223C1">
        <w:rPr>
          <w:rFonts w:ascii="Verdana" w:hAnsi="Verdana"/>
          <w:sz w:val="20"/>
          <w:szCs w:val="20"/>
          <w:lang w:val="es-CO"/>
        </w:rPr>
        <w:t>p. 154-5.</w:t>
      </w:r>
    </w:p>
    <w:p w14:paraId="583F09FF" w14:textId="77777777" w:rsidR="00011243" w:rsidRPr="007223C1" w:rsidRDefault="00624FB3" w:rsidP="007223C1">
      <w:pPr>
        <w:widowControl/>
        <w:numPr>
          <w:ilvl w:val="0"/>
          <w:numId w:val="1"/>
        </w:numPr>
        <w:spacing w:line="360" w:lineRule="auto"/>
        <w:ind w:left="0"/>
        <w:jc w:val="both"/>
        <w:rPr>
          <w:rFonts w:ascii="Verdana" w:hAnsi="Verdana"/>
          <w:sz w:val="20"/>
          <w:szCs w:val="20"/>
          <w:lang w:val="es-CO"/>
        </w:rPr>
      </w:pPr>
      <w:r w:rsidRPr="007223C1">
        <w:rPr>
          <w:rFonts w:ascii="Verdana" w:hAnsi="Verdana"/>
          <w:sz w:val="20"/>
          <w:szCs w:val="20"/>
          <w:lang w:val="es-CO"/>
        </w:rPr>
        <w:t xml:space="preserve">Organización mundial de la salud [internet]. 2017 [actualizado agosto 2017; citado 23 febrero 2018]. Disponible en: </w:t>
      </w:r>
      <w:hyperlink r:id="rId8" w:history="1">
        <w:r w:rsidRPr="007223C1">
          <w:rPr>
            <w:rFonts w:ascii="Verdana" w:hAnsi="Verdana"/>
            <w:sz w:val="20"/>
            <w:szCs w:val="20"/>
            <w:lang w:val="es-CO"/>
          </w:rPr>
          <w:t>http://www.who.int/mediacentre/factsheets/fs344/es/</w:t>
        </w:r>
      </w:hyperlink>
    </w:p>
    <w:p w14:paraId="056F60A5" w14:textId="07637669" w:rsidR="00011243" w:rsidRPr="007223C1" w:rsidRDefault="00624FB3" w:rsidP="007223C1">
      <w:pPr>
        <w:widowControl/>
        <w:numPr>
          <w:ilvl w:val="0"/>
          <w:numId w:val="1"/>
        </w:numPr>
        <w:spacing w:line="360" w:lineRule="auto"/>
        <w:ind w:left="0"/>
        <w:jc w:val="both"/>
        <w:rPr>
          <w:rFonts w:ascii="Verdana" w:hAnsi="Verdana"/>
          <w:sz w:val="20"/>
          <w:szCs w:val="20"/>
          <w:lang w:val="es-CO"/>
        </w:rPr>
      </w:pPr>
      <w:proofErr w:type="spellStart"/>
      <w:r w:rsidRPr="007223C1">
        <w:rPr>
          <w:rFonts w:ascii="Verdana" w:hAnsi="Verdana"/>
          <w:sz w:val="20"/>
          <w:szCs w:val="20"/>
          <w:lang w:val="es-CO"/>
        </w:rPr>
        <w:t>Vidarte</w:t>
      </w:r>
      <w:proofErr w:type="spellEnd"/>
      <w:r w:rsidRPr="007223C1">
        <w:rPr>
          <w:rFonts w:ascii="Verdana" w:hAnsi="Verdana"/>
          <w:sz w:val="20"/>
          <w:szCs w:val="20"/>
          <w:lang w:val="es-CO"/>
        </w:rPr>
        <w:t xml:space="preserve"> J, Quintero M, </w:t>
      </w:r>
      <w:proofErr w:type="spellStart"/>
      <w:r w:rsidRPr="007223C1">
        <w:rPr>
          <w:rFonts w:ascii="Verdana" w:hAnsi="Verdana"/>
          <w:sz w:val="20"/>
          <w:szCs w:val="20"/>
          <w:lang w:val="es-CO"/>
        </w:rPr>
        <w:t>Herazo</w:t>
      </w:r>
      <w:proofErr w:type="spellEnd"/>
      <w:r w:rsidRPr="007223C1">
        <w:rPr>
          <w:rFonts w:ascii="Verdana" w:hAnsi="Verdana"/>
          <w:sz w:val="20"/>
          <w:szCs w:val="20"/>
          <w:lang w:val="es-CO"/>
        </w:rPr>
        <w:t xml:space="preserve"> Y. Efectos del ejercicio físico en la condición física funcional y la estabilidad en adultos mayores. Hacia la Promoción de la Salud. [Internet]. 2012 [citado 23 feb 2018]</w:t>
      </w:r>
      <w:proofErr w:type="gramStart"/>
      <w:r w:rsidRPr="007223C1">
        <w:rPr>
          <w:rFonts w:ascii="Verdana" w:hAnsi="Verdana"/>
          <w:sz w:val="20"/>
          <w:szCs w:val="20"/>
          <w:lang w:val="es-CO"/>
        </w:rPr>
        <w:t>;17</w:t>
      </w:r>
      <w:proofErr w:type="gramEnd"/>
      <w:r w:rsidRPr="007223C1">
        <w:rPr>
          <w:rFonts w:ascii="Verdana" w:hAnsi="Verdana"/>
          <w:sz w:val="20"/>
          <w:szCs w:val="20"/>
          <w:lang w:val="es-CO"/>
        </w:rPr>
        <w:t>(2):79-90. Disponible en: http://www.scielo.org.co/pdf/hpsal/v17n2/v17n2a06.pdf</w:t>
      </w:r>
    </w:p>
    <w:p w14:paraId="235B5D60" w14:textId="0DC25BEF" w:rsidR="00011243" w:rsidRPr="007223C1" w:rsidRDefault="00624FB3" w:rsidP="007223C1">
      <w:pPr>
        <w:keepNext/>
        <w:widowControl/>
        <w:numPr>
          <w:ilvl w:val="0"/>
          <w:numId w:val="1"/>
        </w:numPr>
        <w:shd w:val="clear" w:color="auto" w:fill="FFFFFF"/>
        <w:spacing w:line="360" w:lineRule="auto"/>
        <w:ind w:left="0"/>
        <w:contextualSpacing/>
        <w:jc w:val="both"/>
        <w:rPr>
          <w:rFonts w:ascii="Verdana" w:hAnsi="Verdana"/>
          <w:sz w:val="20"/>
          <w:szCs w:val="20"/>
          <w:lang w:val="es-CO"/>
        </w:rPr>
      </w:pPr>
      <w:r w:rsidRPr="007223C1">
        <w:rPr>
          <w:rFonts w:ascii="Verdana" w:hAnsi="Verdana"/>
          <w:sz w:val="20"/>
          <w:szCs w:val="20"/>
        </w:rPr>
        <w:lastRenderedPageBreak/>
        <w:t xml:space="preserve">Fabre J, Ellis R, </w:t>
      </w:r>
      <w:proofErr w:type="spellStart"/>
      <w:r w:rsidRPr="007223C1">
        <w:rPr>
          <w:rFonts w:ascii="Verdana" w:hAnsi="Verdana"/>
          <w:sz w:val="20"/>
          <w:szCs w:val="20"/>
        </w:rPr>
        <w:t>Kosma</w:t>
      </w:r>
      <w:proofErr w:type="spellEnd"/>
      <w:r w:rsidRPr="007223C1">
        <w:rPr>
          <w:rFonts w:ascii="Verdana" w:hAnsi="Verdana"/>
          <w:sz w:val="20"/>
          <w:szCs w:val="20"/>
        </w:rPr>
        <w:t xml:space="preserve"> M, Wood R. Falls risk factors and a compendium of falls </w:t>
      </w:r>
      <w:proofErr w:type="gramStart"/>
      <w:r w:rsidRPr="007223C1">
        <w:rPr>
          <w:rFonts w:ascii="Verdana" w:hAnsi="Verdana"/>
          <w:sz w:val="20"/>
          <w:szCs w:val="20"/>
        </w:rPr>
        <w:t>risk screening</w:t>
      </w:r>
      <w:proofErr w:type="gramEnd"/>
      <w:r w:rsidRPr="007223C1">
        <w:rPr>
          <w:rFonts w:ascii="Verdana" w:hAnsi="Verdana"/>
          <w:sz w:val="20"/>
          <w:szCs w:val="20"/>
        </w:rPr>
        <w:t xml:space="preserve"> instruments. </w:t>
      </w:r>
      <w:r w:rsidRPr="007223C1">
        <w:rPr>
          <w:rFonts w:ascii="Verdana" w:hAnsi="Verdana"/>
          <w:sz w:val="20"/>
          <w:szCs w:val="20"/>
          <w:lang w:val="es-CO"/>
        </w:rPr>
        <w:t xml:space="preserve">J Geriatr Phys </w:t>
      </w:r>
      <w:proofErr w:type="spellStart"/>
      <w:r w:rsidRPr="007223C1">
        <w:rPr>
          <w:rFonts w:ascii="Verdana" w:hAnsi="Verdana"/>
          <w:sz w:val="20"/>
          <w:szCs w:val="20"/>
          <w:lang w:val="es-CO"/>
        </w:rPr>
        <w:t>Ther</w:t>
      </w:r>
      <w:proofErr w:type="spellEnd"/>
      <w:r w:rsidRPr="007223C1">
        <w:rPr>
          <w:rFonts w:ascii="Verdana" w:hAnsi="Verdana"/>
          <w:sz w:val="20"/>
          <w:szCs w:val="20"/>
          <w:lang w:val="es-CO"/>
        </w:rPr>
        <w:t>. 2010</w:t>
      </w:r>
      <w:proofErr w:type="gramStart"/>
      <w:r w:rsidRPr="007223C1">
        <w:rPr>
          <w:rFonts w:ascii="Verdana" w:hAnsi="Verdana"/>
          <w:sz w:val="20"/>
          <w:szCs w:val="20"/>
          <w:lang w:val="es-CO"/>
        </w:rPr>
        <w:t>;33</w:t>
      </w:r>
      <w:proofErr w:type="gramEnd"/>
      <w:r w:rsidRPr="007223C1">
        <w:rPr>
          <w:rFonts w:ascii="Verdana" w:hAnsi="Verdana"/>
          <w:sz w:val="20"/>
          <w:szCs w:val="20"/>
          <w:lang w:val="es-CO"/>
        </w:rPr>
        <w:t>(4):184-97.Organización mundial de la salud [internet]. Estrategia mundial sobre régimen alimentario, actividad física y salud. Mitos sobre la actividad física. 2017 [actualizado 2017; citado 10 marzo 2018]. Disponible en: http://www.who.int/dietphysicalactivity/factsheet_myths/es/</w:t>
      </w:r>
    </w:p>
    <w:p w14:paraId="0319E533" w14:textId="77777777" w:rsidR="00011243" w:rsidRPr="007223C1" w:rsidRDefault="00624FB3" w:rsidP="007223C1">
      <w:pPr>
        <w:keepNext/>
        <w:widowControl/>
        <w:numPr>
          <w:ilvl w:val="0"/>
          <w:numId w:val="1"/>
        </w:numPr>
        <w:shd w:val="clear" w:color="auto" w:fill="FFFFFF"/>
        <w:spacing w:line="360" w:lineRule="auto"/>
        <w:ind w:left="0"/>
        <w:contextualSpacing/>
        <w:jc w:val="both"/>
        <w:rPr>
          <w:rFonts w:ascii="Verdana" w:hAnsi="Verdana"/>
          <w:sz w:val="20"/>
          <w:szCs w:val="20"/>
          <w:lang w:val="es-CO"/>
        </w:rPr>
      </w:pPr>
      <w:r w:rsidRPr="007223C1">
        <w:rPr>
          <w:rFonts w:ascii="Verdana" w:hAnsi="Verdana"/>
          <w:sz w:val="20"/>
          <w:szCs w:val="20"/>
          <w:lang w:val="pt-BR"/>
        </w:rPr>
        <w:t xml:space="preserve">Bonardi G, Souza VBA, Moraes JFD. Incapacidade funcional e idosos: Um desafio para os profissionais de saúde. </w:t>
      </w:r>
      <w:proofErr w:type="spellStart"/>
      <w:r w:rsidRPr="007223C1">
        <w:rPr>
          <w:rFonts w:ascii="Verdana" w:hAnsi="Verdana"/>
          <w:sz w:val="20"/>
          <w:szCs w:val="20"/>
          <w:lang w:val="es-CO"/>
        </w:rPr>
        <w:t>Sci</w:t>
      </w:r>
      <w:proofErr w:type="spellEnd"/>
      <w:r w:rsidRPr="007223C1">
        <w:rPr>
          <w:rFonts w:ascii="Verdana" w:hAnsi="Verdana"/>
          <w:sz w:val="20"/>
          <w:szCs w:val="20"/>
          <w:lang w:val="es-CO"/>
        </w:rPr>
        <w:t xml:space="preserve"> Med. 2007</w:t>
      </w:r>
      <w:proofErr w:type="gramStart"/>
      <w:r w:rsidRPr="007223C1">
        <w:rPr>
          <w:rFonts w:ascii="Verdana" w:hAnsi="Verdana"/>
          <w:sz w:val="20"/>
          <w:szCs w:val="20"/>
          <w:lang w:val="es-CO"/>
        </w:rPr>
        <w:t>;17</w:t>
      </w:r>
      <w:proofErr w:type="gramEnd"/>
      <w:r w:rsidRPr="007223C1">
        <w:rPr>
          <w:rFonts w:ascii="Verdana" w:hAnsi="Verdana"/>
          <w:sz w:val="20"/>
          <w:szCs w:val="20"/>
          <w:lang w:val="es-CO"/>
        </w:rPr>
        <w:t>(3):138-44.</w:t>
      </w:r>
    </w:p>
    <w:p w14:paraId="137A8748" w14:textId="642DFF2B" w:rsidR="00011243" w:rsidRPr="007223C1" w:rsidRDefault="00624FB3" w:rsidP="007223C1">
      <w:pPr>
        <w:widowControl/>
        <w:numPr>
          <w:ilvl w:val="0"/>
          <w:numId w:val="1"/>
        </w:numPr>
        <w:spacing w:line="360" w:lineRule="auto"/>
        <w:ind w:left="0"/>
        <w:jc w:val="both"/>
        <w:rPr>
          <w:rFonts w:ascii="Verdana" w:hAnsi="Verdana"/>
          <w:sz w:val="20"/>
          <w:szCs w:val="20"/>
          <w:lang w:val="es-CO"/>
        </w:rPr>
      </w:pPr>
      <w:r w:rsidRPr="007223C1">
        <w:rPr>
          <w:rFonts w:ascii="Verdana" w:hAnsi="Verdana"/>
          <w:sz w:val="20"/>
          <w:szCs w:val="20"/>
          <w:lang w:val="es-CO"/>
        </w:rPr>
        <w:t xml:space="preserve">Silva J, Coelho S, </w:t>
      </w:r>
      <w:proofErr w:type="spellStart"/>
      <w:r w:rsidRPr="007223C1">
        <w:rPr>
          <w:rFonts w:ascii="Verdana" w:hAnsi="Verdana"/>
          <w:sz w:val="20"/>
          <w:szCs w:val="20"/>
          <w:lang w:val="es-CO"/>
        </w:rPr>
        <w:t>Wehbe</w:t>
      </w:r>
      <w:proofErr w:type="spellEnd"/>
      <w:r w:rsidRPr="007223C1">
        <w:rPr>
          <w:rFonts w:ascii="Verdana" w:hAnsi="Verdana"/>
          <w:sz w:val="20"/>
          <w:szCs w:val="20"/>
          <w:lang w:val="es-CO"/>
        </w:rPr>
        <w:t xml:space="preserve"> F, Ramos T, </w:t>
      </w:r>
      <w:proofErr w:type="spellStart"/>
      <w:r w:rsidRPr="007223C1">
        <w:rPr>
          <w:rFonts w:ascii="Verdana" w:hAnsi="Verdana"/>
          <w:sz w:val="20"/>
          <w:szCs w:val="20"/>
          <w:lang w:val="es-CO"/>
        </w:rPr>
        <w:t>Stackfleth</w:t>
      </w:r>
      <w:proofErr w:type="spellEnd"/>
      <w:r w:rsidRPr="007223C1">
        <w:rPr>
          <w:rFonts w:ascii="Verdana" w:hAnsi="Verdana"/>
          <w:sz w:val="20"/>
          <w:szCs w:val="20"/>
          <w:lang w:val="es-CO"/>
        </w:rPr>
        <w:t xml:space="preserve"> R, Marques S. Caídas en el adulto mayor y su relación con la capacidad funcional. Rev. Latino-Am. </w:t>
      </w:r>
      <w:proofErr w:type="spellStart"/>
      <w:r w:rsidRPr="007223C1">
        <w:rPr>
          <w:rFonts w:ascii="Verdana" w:hAnsi="Verdana"/>
          <w:sz w:val="20"/>
          <w:szCs w:val="20"/>
          <w:lang w:val="es-CO"/>
        </w:rPr>
        <w:t>Enfermagem</w:t>
      </w:r>
      <w:proofErr w:type="spellEnd"/>
      <w:r w:rsidRPr="007223C1">
        <w:rPr>
          <w:rFonts w:ascii="Verdana" w:hAnsi="Verdana"/>
          <w:sz w:val="20"/>
          <w:szCs w:val="20"/>
          <w:lang w:val="es-CO"/>
        </w:rPr>
        <w:t>. [Internet]. 2012 [citado 23 feb 2018]</w:t>
      </w:r>
      <w:proofErr w:type="gramStart"/>
      <w:r w:rsidRPr="007223C1">
        <w:rPr>
          <w:rFonts w:ascii="Verdana" w:hAnsi="Verdana"/>
          <w:sz w:val="20"/>
          <w:szCs w:val="20"/>
          <w:lang w:val="es-CO"/>
        </w:rPr>
        <w:t>;20</w:t>
      </w:r>
      <w:proofErr w:type="gramEnd"/>
      <w:r w:rsidRPr="007223C1">
        <w:rPr>
          <w:rFonts w:ascii="Verdana" w:hAnsi="Verdana"/>
          <w:sz w:val="20"/>
          <w:szCs w:val="20"/>
          <w:lang w:val="es-CO"/>
        </w:rPr>
        <w:t>(5):9</w:t>
      </w:r>
      <w:r w:rsidR="00F33806">
        <w:rPr>
          <w:rFonts w:ascii="Verdana" w:hAnsi="Verdana"/>
          <w:sz w:val="20"/>
          <w:szCs w:val="20"/>
          <w:lang w:val="es-CO"/>
        </w:rPr>
        <w:t>.</w:t>
      </w:r>
      <w:r w:rsidRPr="007223C1">
        <w:rPr>
          <w:rFonts w:ascii="Verdana" w:hAnsi="Verdana"/>
          <w:sz w:val="20"/>
          <w:szCs w:val="20"/>
          <w:lang w:val="es-CO"/>
        </w:rPr>
        <w:t xml:space="preserve"> Disponible en: </w:t>
      </w:r>
      <w:hyperlink r:id="rId9" w:history="1">
        <w:r w:rsidRPr="007223C1">
          <w:rPr>
            <w:rFonts w:ascii="Verdana" w:hAnsi="Verdana"/>
            <w:sz w:val="20"/>
            <w:szCs w:val="20"/>
            <w:lang w:val="es-CO"/>
          </w:rPr>
          <w:t>http://www.scielo.br/pdf/rlae/v20n5/es_15.pdf</w:t>
        </w:r>
      </w:hyperlink>
      <w:r w:rsidRPr="007223C1">
        <w:rPr>
          <w:rFonts w:ascii="Verdana" w:hAnsi="Verdana"/>
          <w:sz w:val="20"/>
          <w:szCs w:val="20"/>
          <w:lang w:val="es-CO"/>
        </w:rPr>
        <w:t>.</w:t>
      </w:r>
    </w:p>
    <w:p w14:paraId="5EA4A003" w14:textId="77777777" w:rsidR="00011243" w:rsidRPr="007223C1" w:rsidRDefault="00624FB3" w:rsidP="007223C1">
      <w:pPr>
        <w:widowControl/>
        <w:numPr>
          <w:ilvl w:val="0"/>
          <w:numId w:val="1"/>
        </w:numPr>
        <w:spacing w:line="360" w:lineRule="auto"/>
        <w:ind w:left="0"/>
        <w:contextualSpacing/>
        <w:jc w:val="both"/>
        <w:rPr>
          <w:rFonts w:ascii="Verdana" w:hAnsi="Verdana"/>
          <w:sz w:val="20"/>
          <w:szCs w:val="20"/>
          <w:lang w:val="es-CO"/>
        </w:rPr>
      </w:pPr>
      <w:proofErr w:type="spellStart"/>
      <w:r w:rsidRPr="007223C1">
        <w:rPr>
          <w:rFonts w:ascii="Verdana" w:hAnsi="Verdana"/>
          <w:sz w:val="20"/>
          <w:szCs w:val="20"/>
          <w:lang w:val="pt-BR"/>
        </w:rPr>
        <w:t>Rikli</w:t>
      </w:r>
      <w:proofErr w:type="spellEnd"/>
      <w:r w:rsidRPr="007223C1">
        <w:rPr>
          <w:rFonts w:ascii="Verdana" w:hAnsi="Verdana"/>
          <w:sz w:val="20"/>
          <w:szCs w:val="20"/>
          <w:lang w:val="pt-BR"/>
        </w:rPr>
        <w:t xml:space="preserve"> R, Jones J. </w:t>
      </w:r>
      <w:proofErr w:type="spellStart"/>
      <w:r w:rsidRPr="007223C1">
        <w:rPr>
          <w:rFonts w:ascii="Verdana" w:hAnsi="Verdana"/>
          <w:sz w:val="20"/>
          <w:szCs w:val="20"/>
          <w:lang w:val="pt-BR"/>
        </w:rPr>
        <w:t>Senior</w:t>
      </w:r>
      <w:proofErr w:type="spellEnd"/>
      <w:r w:rsidRPr="007223C1">
        <w:rPr>
          <w:rFonts w:ascii="Verdana" w:hAnsi="Verdana"/>
          <w:sz w:val="20"/>
          <w:szCs w:val="20"/>
          <w:lang w:val="pt-BR"/>
        </w:rPr>
        <w:t xml:space="preserve"> fitness </w:t>
      </w:r>
      <w:proofErr w:type="spellStart"/>
      <w:r w:rsidRPr="007223C1">
        <w:rPr>
          <w:rFonts w:ascii="Verdana" w:hAnsi="Verdana"/>
          <w:sz w:val="20"/>
          <w:szCs w:val="20"/>
          <w:lang w:val="pt-BR"/>
        </w:rPr>
        <w:t>test</w:t>
      </w:r>
      <w:proofErr w:type="spellEnd"/>
      <w:r w:rsidRPr="007223C1">
        <w:rPr>
          <w:rFonts w:ascii="Verdana" w:hAnsi="Verdana"/>
          <w:sz w:val="20"/>
          <w:szCs w:val="20"/>
          <w:lang w:val="pt-BR"/>
        </w:rPr>
        <w:t xml:space="preserve"> manual. </w:t>
      </w:r>
      <w:r w:rsidRPr="007223C1">
        <w:rPr>
          <w:rFonts w:ascii="Verdana" w:hAnsi="Verdana"/>
          <w:sz w:val="20"/>
          <w:szCs w:val="20"/>
          <w:lang w:val="es-CO"/>
        </w:rPr>
        <w:t>Segunda edición: Estados Unidos: Human Kinetics</w:t>
      </w:r>
      <w:proofErr w:type="gramStart"/>
      <w:r w:rsidRPr="007223C1">
        <w:rPr>
          <w:rFonts w:ascii="Verdana" w:hAnsi="Verdana"/>
          <w:sz w:val="20"/>
          <w:szCs w:val="20"/>
          <w:lang w:val="es-CO"/>
        </w:rPr>
        <w:t>;2013</w:t>
      </w:r>
      <w:proofErr w:type="gramEnd"/>
      <w:r w:rsidRPr="007223C1">
        <w:rPr>
          <w:rFonts w:ascii="Verdana" w:hAnsi="Verdana"/>
          <w:sz w:val="20"/>
          <w:szCs w:val="20"/>
          <w:lang w:val="es-CO"/>
        </w:rPr>
        <w:t xml:space="preserve">. </w:t>
      </w:r>
    </w:p>
    <w:p w14:paraId="6C9B6F2D" w14:textId="64025902" w:rsidR="00011243" w:rsidRPr="007223C1" w:rsidRDefault="00624FB3" w:rsidP="007223C1">
      <w:pPr>
        <w:widowControl/>
        <w:numPr>
          <w:ilvl w:val="0"/>
          <w:numId w:val="1"/>
        </w:numPr>
        <w:spacing w:line="360" w:lineRule="auto"/>
        <w:ind w:left="0"/>
        <w:contextualSpacing/>
        <w:jc w:val="both"/>
        <w:rPr>
          <w:rFonts w:ascii="Verdana" w:hAnsi="Verdana"/>
          <w:sz w:val="20"/>
          <w:szCs w:val="20"/>
          <w:lang w:val="es-CO"/>
        </w:rPr>
      </w:pPr>
      <w:r w:rsidRPr="007223C1">
        <w:rPr>
          <w:rFonts w:ascii="Verdana" w:hAnsi="Verdana"/>
          <w:sz w:val="20"/>
          <w:szCs w:val="20"/>
          <w:lang w:val="es-CO"/>
        </w:rPr>
        <w:t>Sandoval C, Cobo E, Ochoa M, Vargas D, Ruiz L, Buitrago L</w:t>
      </w:r>
      <w:r w:rsidR="002F041B">
        <w:rPr>
          <w:rFonts w:ascii="Verdana" w:hAnsi="Verdana"/>
          <w:sz w:val="20"/>
          <w:szCs w:val="20"/>
          <w:lang w:val="es-CO"/>
        </w:rPr>
        <w:t>, et al</w:t>
      </w:r>
      <w:r w:rsidRPr="007223C1">
        <w:rPr>
          <w:rFonts w:ascii="Verdana" w:hAnsi="Verdana"/>
          <w:sz w:val="20"/>
          <w:szCs w:val="20"/>
          <w:lang w:val="es-CO"/>
        </w:rPr>
        <w:t xml:space="preserve">. Validación del </w:t>
      </w:r>
      <w:proofErr w:type="spellStart"/>
      <w:r w:rsidRPr="007223C1">
        <w:rPr>
          <w:rFonts w:ascii="Verdana" w:hAnsi="Verdana"/>
          <w:sz w:val="20"/>
          <w:szCs w:val="20"/>
          <w:lang w:val="es-CO"/>
        </w:rPr>
        <w:t>senior</w:t>
      </w:r>
      <w:proofErr w:type="spellEnd"/>
      <w:r w:rsidRPr="007223C1">
        <w:rPr>
          <w:rFonts w:ascii="Verdana" w:hAnsi="Verdana"/>
          <w:sz w:val="20"/>
          <w:szCs w:val="20"/>
          <w:lang w:val="es-CO"/>
        </w:rPr>
        <w:t xml:space="preserve"> </w:t>
      </w:r>
      <w:proofErr w:type="spellStart"/>
      <w:r w:rsidRPr="007223C1">
        <w:rPr>
          <w:rFonts w:ascii="Verdana" w:hAnsi="Verdana"/>
          <w:sz w:val="20"/>
          <w:szCs w:val="20"/>
          <w:lang w:val="es-CO"/>
        </w:rPr>
        <w:t>fitness</w:t>
      </w:r>
      <w:proofErr w:type="spellEnd"/>
      <w:r w:rsidRPr="007223C1">
        <w:rPr>
          <w:rFonts w:ascii="Verdana" w:hAnsi="Verdana"/>
          <w:sz w:val="20"/>
          <w:szCs w:val="20"/>
          <w:lang w:val="es-CO"/>
        </w:rPr>
        <w:t xml:space="preserve"> test en la ciudad de Tunja. 6º Seminario Internacional en Actividad Física y Salud Prescripción, planificación y control del ejercicio para la salud en el proceso vital. </w:t>
      </w:r>
      <w:proofErr w:type="spellStart"/>
      <w:r w:rsidRPr="007223C1">
        <w:rPr>
          <w:rFonts w:ascii="Verdana" w:hAnsi="Verdana"/>
          <w:sz w:val="20"/>
          <w:szCs w:val="20"/>
          <w:lang w:val="es-CO"/>
        </w:rPr>
        <w:t>Expomotricidad</w:t>
      </w:r>
      <w:proofErr w:type="spellEnd"/>
      <w:r w:rsidRPr="007223C1">
        <w:rPr>
          <w:rFonts w:ascii="Verdana" w:hAnsi="Verdana"/>
          <w:sz w:val="20"/>
          <w:szCs w:val="20"/>
          <w:lang w:val="es-CO"/>
        </w:rPr>
        <w:t xml:space="preserve"> 2015. Instituto Universitario de Educación F</w:t>
      </w:r>
      <w:r w:rsidR="00BE35D5">
        <w:rPr>
          <w:rFonts w:ascii="Verdana" w:hAnsi="Verdana"/>
          <w:sz w:val="20"/>
          <w:szCs w:val="20"/>
          <w:lang w:val="es-CO"/>
        </w:rPr>
        <w:t>ísica. Universidad de Antioquia; 2015</w:t>
      </w:r>
      <w:r w:rsidR="00F1786B">
        <w:rPr>
          <w:rFonts w:ascii="Verdana" w:hAnsi="Verdana"/>
          <w:sz w:val="20"/>
          <w:szCs w:val="20"/>
          <w:lang w:val="es-CO"/>
        </w:rPr>
        <w:t>.</w:t>
      </w:r>
    </w:p>
    <w:p w14:paraId="2204F441" w14:textId="3BEFC4E4" w:rsidR="00011243" w:rsidRPr="007223C1" w:rsidRDefault="00624FB3" w:rsidP="007223C1">
      <w:pPr>
        <w:widowControl/>
        <w:numPr>
          <w:ilvl w:val="0"/>
          <w:numId w:val="1"/>
        </w:numPr>
        <w:spacing w:line="360" w:lineRule="auto"/>
        <w:ind w:left="0"/>
        <w:jc w:val="both"/>
        <w:rPr>
          <w:rFonts w:ascii="Verdana" w:hAnsi="Verdana"/>
          <w:sz w:val="20"/>
          <w:szCs w:val="20"/>
        </w:rPr>
      </w:pPr>
      <w:r w:rsidRPr="007223C1">
        <w:rPr>
          <w:rFonts w:ascii="Verdana" w:hAnsi="Verdana"/>
          <w:sz w:val="20"/>
          <w:szCs w:val="20"/>
          <w:lang w:val="es-CO"/>
        </w:rPr>
        <w:t xml:space="preserve">Rodríguez G. Lugo H. Validez y confiabilidad de la Escala de </w:t>
      </w:r>
      <w:proofErr w:type="spellStart"/>
      <w:r w:rsidRPr="007223C1">
        <w:rPr>
          <w:rFonts w:ascii="Verdana" w:hAnsi="Verdana"/>
          <w:sz w:val="20"/>
          <w:szCs w:val="20"/>
          <w:lang w:val="es-CO"/>
        </w:rPr>
        <w:t>T</w:t>
      </w:r>
      <w:r w:rsidR="00F1786B">
        <w:rPr>
          <w:rFonts w:ascii="Verdana" w:hAnsi="Verdana"/>
          <w:sz w:val="20"/>
          <w:szCs w:val="20"/>
          <w:lang w:val="es-CO"/>
        </w:rPr>
        <w:t>inetti</w:t>
      </w:r>
      <w:proofErr w:type="spellEnd"/>
      <w:r w:rsidR="00F1786B">
        <w:rPr>
          <w:rFonts w:ascii="Verdana" w:hAnsi="Verdana"/>
          <w:sz w:val="20"/>
          <w:szCs w:val="20"/>
          <w:lang w:val="es-CO"/>
        </w:rPr>
        <w:t xml:space="preserve"> para población c</w:t>
      </w:r>
      <w:r w:rsidRPr="007223C1">
        <w:rPr>
          <w:rFonts w:ascii="Verdana" w:hAnsi="Verdana"/>
          <w:sz w:val="20"/>
          <w:szCs w:val="20"/>
          <w:lang w:val="es-CO"/>
        </w:rPr>
        <w:t xml:space="preserve">olombiana. </w:t>
      </w:r>
      <w:proofErr w:type="spellStart"/>
      <w:r w:rsidRPr="007223C1">
        <w:rPr>
          <w:rFonts w:ascii="Verdana" w:hAnsi="Verdana"/>
          <w:sz w:val="20"/>
          <w:szCs w:val="20"/>
        </w:rPr>
        <w:t>Asociación</w:t>
      </w:r>
      <w:proofErr w:type="spellEnd"/>
      <w:r w:rsidRPr="007223C1">
        <w:rPr>
          <w:rFonts w:ascii="Verdana" w:hAnsi="Verdana"/>
          <w:sz w:val="20"/>
          <w:szCs w:val="20"/>
        </w:rPr>
        <w:t xml:space="preserve"> </w:t>
      </w:r>
      <w:proofErr w:type="spellStart"/>
      <w:r w:rsidRPr="007223C1">
        <w:rPr>
          <w:rFonts w:ascii="Verdana" w:hAnsi="Verdana"/>
          <w:sz w:val="20"/>
          <w:szCs w:val="20"/>
        </w:rPr>
        <w:t>Colombiana</w:t>
      </w:r>
      <w:proofErr w:type="spellEnd"/>
      <w:r w:rsidRPr="007223C1">
        <w:rPr>
          <w:rFonts w:ascii="Verdana" w:hAnsi="Verdana"/>
          <w:sz w:val="20"/>
          <w:szCs w:val="20"/>
        </w:rPr>
        <w:t xml:space="preserve"> de </w:t>
      </w:r>
      <w:proofErr w:type="spellStart"/>
      <w:r w:rsidRPr="007223C1">
        <w:rPr>
          <w:rFonts w:ascii="Verdana" w:hAnsi="Verdana"/>
          <w:sz w:val="20"/>
          <w:szCs w:val="20"/>
        </w:rPr>
        <w:t>Reumatología</w:t>
      </w:r>
      <w:proofErr w:type="spellEnd"/>
      <w:r w:rsidRPr="007223C1">
        <w:rPr>
          <w:rFonts w:ascii="Verdana" w:hAnsi="Verdana"/>
          <w:sz w:val="20"/>
          <w:szCs w:val="20"/>
        </w:rPr>
        <w:t>.</w:t>
      </w:r>
      <w:r w:rsidR="00F1786B">
        <w:rPr>
          <w:rFonts w:ascii="Verdana" w:hAnsi="Verdana"/>
          <w:sz w:val="20"/>
          <w:szCs w:val="20"/>
        </w:rPr>
        <w:t xml:space="preserve"> </w:t>
      </w:r>
      <w:r w:rsidRPr="007223C1">
        <w:rPr>
          <w:rFonts w:ascii="Verdana" w:hAnsi="Verdana"/>
          <w:sz w:val="20"/>
          <w:szCs w:val="20"/>
        </w:rPr>
        <w:t>2012</w:t>
      </w:r>
      <w:proofErr w:type="gramStart"/>
      <w:r w:rsidRPr="007223C1">
        <w:rPr>
          <w:rFonts w:ascii="Verdana" w:hAnsi="Verdana"/>
          <w:sz w:val="20"/>
          <w:szCs w:val="20"/>
        </w:rPr>
        <w:t>;19</w:t>
      </w:r>
      <w:proofErr w:type="gramEnd"/>
      <w:r w:rsidRPr="007223C1">
        <w:rPr>
          <w:rFonts w:ascii="Verdana" w:hAnsi="Verdana"/>
          <w:sz w:val="20"/>
          <w:szCs w:val="20"/>
        </w:rPr>
        <w:t>(4):</w:t>
      </w:r>
      <w:r w:rsidR="00F1786B">
        <w:rPr>
          <w:rFonts w:ascii="Verdana" w:hAnsi="Verdana"/>
          <w:sz w:val="20"/>
          <w:szCs w:val="20"/>
        </w:rPr>
        <w:t>218</w:t>
      </w:r>
      <w:r w:rsidRPr="007223C1">
        <w:rPr>
          <w:rFonts w:ascii="Verdana" w:hAnsi="Verdana"/>
          <w:sz w:val="20"/>
          <w:szCs w:val="20"/>
        </w:rPr>
        <w:t>–23.</w:t>
      </w:r>
    </w:p>
    <w:p w14:paraId="331B3276" w14:textId="63C20072" w:rsidR="00011243" w:rsidRPr="007223C1" w:rsidRDefault="00624FB3" w:rsidP="007223C1">
      <w:pPr>
        <w:widowControl/>
        <w:numPr>
          <w:ilvl w:val="0"/>
          <w:numId w:val="1"/>
        </w:numPr>
        <w:spacing w:line="360" w:lineRule="auto"/>
        <w:ind w:left="0"/>
        <w:jc w:val="both"/>
        <w:rPr>
          <w:rFonts w:ascii="Verdana" w:hAnsi="Verdana"/>
          <w:sz w:val="20"/>
          <w:szCs w:val="20"/>
        </w:rPr>
      </w:pPr>
      <w:r w:rsidRPr="007223C1">
        <w:rPr>
          <w:rFonts w:ascii="Verdana" w:eastAsiaTheme="minorHAnsi" w:hAnsi="Verdana"/>
          <w:color w:val="auto"/>
          <w:sz w:val="20"/>
          <w:szCs w:val="20"/>
        </w:rPr>
        <w:t xml:space="preserve">Himes C, Reynolds S. Effect of Obesity on </w:t>
      </w:r>
      <w:proofErr w:type="gramStart"/>
      <w:r w:rsidRPr="007223C1">
        <w:rPr>
          <w:rFonts w:ascii="Verdana" w:eastAsiaTheme="minorHAnsi" w:hAnsi="Verdana"/>
          <w:color w:val="auto"/>
          <w:sz w:val="20"/>
          <w:szCs w:val="20"/>
        </w:rPr>
        <w:t>Falls</w:t>
      </w:r>
      <w:proofErr w:type="gramEnd"/>
      <w:r w:rsidRPr="007223C1">
        <w:rPr>
          <w:rFonts w:ascii="Verdana" w:eastAsiaTheme="minorHAnsi" w:hAnsi="Verdana"/>
          <w:color w:val="auto"/>
          <w:sz w:val="20"/>
          <w:szCs w:val="20"/>
        </w:rPr>
        <w:t xml:space="preserve">, Injury, and Disability. </w:t>
      </w:r>
      <w:r w:rsidRPr="007223C1">
        <w:rPr>
          <w:rFonts w:ascii="Verdana" w:eastAsiaTheme="minorHAnsi" w:hAnsi="Verdana"/>
          <w:color w:val="auto"/>
          <w:sz w:val="20"/>
          <w:szCs w:val="20"/>
          <w:lang w:val="es-CO"/>
        </w:rPr>
        <w:t>JAGS. 2012</w:t>
      </w:r>
      <w:proofErr w:type="gramStart"/>
      <w:r w:rsidRPr="007223C1">
        <w:rPr>
          <w:rFonts w:ascii="Verdana" w:eastAsiaTheme="minorHAnsi" w:hAnsi="Verdana"/>
          <w:color w:val="auto"/>
          <w:sz w:val="20"/>
          <w:szCs w:val="20"/>
          <w:lang w:val="es-CO"/>
        </w:rPr>
        <w:t>;60</w:t>
      </w:r>
      <w:proofErr w:type="gramEnd"/>
      <w:r w:rsidR="00E10B09">
        <w:rPr>
          <w:rFonts w:ascii="Verdana" w:eastAsiaTheme="minorHAnsi" w:hAnsi="Verdana"/>
          <w:color w:val="auto"/>
          <w:sz w:val="20"/>
          <w:szCs w:val="20"/>
        </w:rPr>
        <w:t>(1):</w:t>
      </w:r>
      <w:r w:rsidRPr="007223C1">
        <w:rPr>
          <w:rFonts w:ascii="Verdana" w:eastAsiaTheme="minorHAnsi" w:hAnsi="Verdana"/>
          <w:color w:val="auto"/>
          <w:sz w:val="20"/>
          <w:szCs w:val="20"/>
        </w:rPr>
        <w:t>124-5.</w:t>
      </w:r>
    </w:p>
    <w:p w14:paraId="356BB255" w14:textId="02EA7931" w:rsidR="00011243" w:rsidRPr="007223C1" w:rsidRDefault="00624FB3" w:rsidP="007223C1">
      <w:pPr>
        <w:widowControl/>
        <w:numPr>
          <w:ilvl w:val="0"/>
          <w:numId w:val="1"/>
        </w:numPr>
        <w:spacing w:line="360" w:lineRule="auto"/>
        <w:ind w:left="0"/>
        <w:contextualSpacing/>
        <w:jc w:val="both"/>
        <w:rPr>
          <w:rFonts w:ascii="Verdana" w:hAnsi="Verdana"/>
          <w:sz w:val="20"/>
          <w:szCs w:val="20"/>
        </w:rPr>
      </w:pPr>
      <w:r w:rsidRPr="007223C1">
        <w:rPr>
          <w:rFonts w:ascii="Verdana" w:hAnsi="Verdana"/>
          <w:sz w:val="20"/>
          <w:szCs w:val="20"/>
        </w:rPr>
        <w:t xml:space="preserve">Davidson KK, Ford ES, </w:t>
      </w:r>
      <w:proofErr w:type="spellStart"/>
      <w:r w:rsidRPr="007223C1">
        <w:rPr>
          <w:rFonts w:ascii="Verdana" w:hAnsi="Verdana"/>
          <w:sz w:val="20"/>
          <w:szCs w:val="20"/>
        </w:rPr>
        <w:t>Cogswell</w:t>
      </w:r>
      <w:proofErr w:type="spellEnd"/>
      <w:r w:rsidRPr="007223C1">
        <w:rPr>
          <w:rFonts w:ascii="Verdana" w:hAnsi="Verdana"/>
          <w:sz w:val="20"/>
          <w:szCs w:val="20"/>
        </w:rPr>
        <w:t xml:space="preserve"> ME, Dietz WH. Percentage of Body Fat and Body Mass Index are Associated with Mobility Limitations in People Aged 70 and Older from NHANES III. J Am Geriatr Soc</w:t>
      </w:r>
      <w:r w:rsidR="00905F6C">
        <w:rPr>
          <w:rFonts w:ascii="Verdana" w:hAnsi="Verdana"/>
          <w:sz w:val="20"/>
          <w:szCs w:val="20"/>
        </w:rPr>
        <w:t>. 2002</w:t>
      </w:r>
      <w:proofErr w:type="gramStart"/>
      <w:r w:rsidR="00905F6C">
        <w:rPr>
          <w:rFonts w:ascii="Verdana" w:hAnsi="Verdana"/>
          <w:sz w:val="20"/>
          <w:szCs w:val="20"/>
        </w:rPr>
        <w:t>;50:</w:t>
      </w:r>
      <w:r w:rsidRPr="007223C1">
        <w:rPr>
          <w:rFonts w:ascii="Verdana" w:hAnsi="Verdana"/>
          <w:sz w:val="20"/>
          <w:szCs w:val="20"/>
        </w:rPr>
        <w:t>1802</w:t>
      </w:r>
      <w:proofErr w:type="gramEnd"/>
      <w:r w:rsidRPr="007223C1">
        <w:rPr>
          <w:rFonts w:ascii="Verdana" w:hAnsi="Verdana"/>
          <w:sz w:val="20"/>
          <w:szCs w:val="20"/>
        </w:rPr>
        <w:t>-9.</w:t>
      </w:r>
    </w:p>
    <w:p w14:paraId="7FA53C12" w14:textId="5827A7E1" w:rsidR="00011243" w:rsidRPr="007223C1" w:rsidRDefault="00624FB3" w:rsidP="007223C1">
      <w:pPr>
        <w:widowControl/>
        <w:numPr>
          <w:ilvl w:val="0"/>
          <w:numId w:val="1"/>
        </w:numPr>
        <w:spacing w:line="360" w:lineRule="auto"/>
        <w:ind w:left="0"/>
        <w:contextualSpacing/>
        <w:jc w:val="both"/>
        <w:rPr>
          <w:rFonts w:ascii="Verdana" w:hAnsi="Verdana"/>
          <w:sz w:val="20"/>
          <w:szCs w:val="20"/>
          <w:lang w:val="es-CO"/>
        </w:rPr>
      </w:pPr>
      <w:r w:rsidRPr="007223C1">
        <w:rPr>
          <w:rFonts w:ascii="Verdana" w:hAnsi="Verdana"/>
          <w:sz w:val="20"/>
          <w:szCs w:val="20"/>
          <w:lang w:val="es-CO"/>
        </w:rPr>
        <w:t xml:space="preserve">Romero A, </w:t>
      </w:r>
      <w:proofErr w:type="spellStart"/>
      <w:r w:rsidRPr="007223C1">
        <w:rPr>
          <w:rFonts w:ascii="Verdana" w:hAnsi="Verdana"/>
          <w:sz w:val="20"/>
          <w:szCs w:val="20"/>
          <w:lang w:val="es-CO"/>
        </w:rPr>
        <w:t>Somers</w:t>
      </w:r>
      <w:proofErr w:type="spellEnd"/>
      <w:r w:rsidRPr="007223C1">
        <w:rPr>
          <w:rFonts w:ascii="Verdana" w:hAnsi="Verdana"/>
          <w:sz w:val="20"/>
          <w:szCs w:val="20"/>
          <w:lang w:val="es-CO"/>
        </w:rPr>
        <w:t xml:space="preserve"> VK, Sierra J. </w:t>
      </w:r>
      <w:r w:rsidRPr="007223C1">
        <w:rPr>
          <w:rFonts w:ascii="Verdana" w:hAnsi="Verdana"/>
          <w:sz w:val="20"/>
          <w:szCs w:val="20"/>
        </w:rPr>
        <w:t xml:space="preserve">Accuracy of body mass index in diagnosing obesity in the adult general population International. </w:t>
      </w:r>
      <w:proofErr w:type="spellStart"/>
      <w:r w:rsidRPr="007223C1">
        <w:rPr>
          <w:rFonts w:ascii="Verdana" w:hAnsi="Verdana"/>
          <w:sz w:val="20"/>
          <w:szCs w:val="20"/>
          <w:lang w:val="es-CO"/>
        </w:rPr>
        <w:t>Journal</w:t>
      </w:r>
      <w:proofErr w:type="spellEnd"/>
      <w:r w:rsidRPr="007223C1">
        <w:rPr>
          <w:rFonts w:ascii="Verdana" w:hAnsi="Verdana"/>
          <w:sz w:val="20"/>
          <w:szCs w:val="20"/>
          <w:lang w:val="es-CO"/>
        </w:rPr>
        <w:t xml:space="preserve"> of </w:t>
      </w:r>
      <w:proofErr w:type="spellStart"/>
      <w:r w:rsidRPr="007223C1">
        <w:rPr>
          <w:rFonts w:ascii="Verdana" w:hAnsi="Verdana"/>
          <w:sz w:val="20"/>
          <w:szCs w:val="20"/>
          <w:lang w:val="es-CO"/>
        </w:rPr>
        <w:t>Obesity</w:t>
      </w:r>
      <w:proofErr w:type="spellEnd"/>
      <w:r w:rsidRPr="007223C1">
        <w:rPr>
          <w:rFonts w:ascii="Verdana" w:hAnsi="Verdana"/>
          <w:sz w:val="20"/>
          <w:szCs w:val="20"/>
          <w:lang w:val="es-CO"/>
        </w:rPr>
        <w:t>. 2008</w:t>
      </w:r>
      <w:proofErr w:type="gramStart"/>
      <w:r w:rsidRPr="007223C1">
        <w:rPr>
          <w:rFonts w:ascii="Verdana" w:hAnsi="Verdana"/>
          <w:sz w:val="20"/>
          <w:szCs w:val="20"/>
          <w:lang w:val="es-CO"/>
        </w:rPr>
        <w:t>;32:959</w:t>
      </w:r>
      <w:proofErr w:type="gramEnd"/>
      <w:r w:rsidRPr="007223C1">
        <w:rPr>
          <w:rFonts w:ascii="Verdana" w:hAnsi="Verdana"/>
          <w:sz w:val="20"/>
          <w:szCs w:val="20"/>
          <w:lang w:val="es-CO"/>
        </w:rPr>
        <w:t>-66.</w:t>
      </w:r>
    </w:p>
    <w:p w14:paraId="00FE6C8A" w14:textId="7F399ACF" w:rsidR="00011243" w:rsidRPr="007223C1" w:rsidRDefault="00624FB3" w:rsidP="007223C1">
      <w:pPr>
        <w:widowControl/>
        <w:numPr>
          <w:ilvl w:val="0"/>
          <w:numId w:val="1"/>
        </w:numPr>
        <w:spacing w:line="360" w:lineRule="auto"/>
        <w:ind w:left="0"/>
        <w:contextualSpacing/>
        <w:jc w:val="both"/>
        <w:rPr>
          <w:rFonts w:ascii="Verdana" w:hAnsi="Verdana"/>
          <w:sz w:val="20"/>
          <w:szCs w:val="20"/>
        </w:rPr>
      </w:pPr>
      <w:r w:rsidRPr="007223C1">
        <w:rPr>
          <w:rFonts w:ascii="Verdana" w:hAnsi="Verdana"/>
          <w:color w:val="auto"/>
          <w:sz w:val="20"/>
          <w:szCs w:val="20"/>
          <w:lang w:val="es-CO"/>
        </w:rPr>
        <w:t xml:space="preserve">Marín PP, </w:t>
      </w:r>
      <w:proofErr w:type="spellStart"/>
      <w:r w:rsidRPr="007223C1">
        <w:rPr>
          <w:rFonts w:ascii="Verdana" w:hAnsi="Verdana"/>
          <w:color w:val="auto"/>
          <w:sz w:val="20"/>
          <w:szCs w:val="20"/>
          <w:lang w:val="es-CO"/>
        </w:rPr>
        <w:t>Gac</w:t>
      </w:r>
      <w:proofErr w:type="spellEnd"/>
      <w:r w:rsidRPr="007223C1">
        <w:rPr>
          <w:rFonts w:ascii="Verdana" w:hAnsi="Verdana"/>
          <w:color w:val="auto"/>
          <w:sz w:val="20"/>
          <w:szCs w:val="20"/>
          <w:lang w:val="es-CO"/>
        </w:rPr>
        <w:t xml:space="preserve"> H. Cambios asociados al envejecimiento. Boletín de la Escuela de Medicina Pontificia Universidad Católica de Chile. 2000</w:t>
      </w:r>
      <w:proofErr w:type="gramStart"/>
      <w:r w:rsidRPr="007223C1">
        <w:rPr>
          <w:rFonts w:ascii="Verdana" w:hAnsi="Verdana"/>
          <w:color w:val="auto"/>
          <w:sz w:val="20"/>
          <w:szCs w:val="20"/>
          <w:lang w:val="es-CO"/>
        </w:rPr>
        <w:t>;</w:t>
      </w:r>
      <w:r w:rsidRPr="007223C1">
        <w:rPr>
          <w:rFonts w:ascii="Verdana" w:hAnsi="Verdana"/>
          <w:color w:val="auto"/>
          <w:sz w:val="20"/>
          <w:szCs w:val="20"/>
        </w:rPr>
        <w:t>29:11</w:t>
      </w:r>
      <w:proofErr w:type="gramEnd"/>
      <w:r w:rsidRPr="007223C1">
        <w:rPr>
          <w:rFonts w:ascii="Verdana" w:hAnsi="Verdana"/>
          <w:color w:val="auto"/>
          <w:sz w:val="20"/>
          <w:szCs w:val="20"/>
        </w:rPr>
        <w:t>-4.</w:t>
      </w:r>
    </w:p>
    <w:p w14:paraId="3B96901F" w14:textId="37362784" w:rsidR="00011243" w:rsidRPr="007223C1" w:rsidRDefault="00624FB3" w:rsidP="007223C1">
      <w:pPr>
        <w:widowControl/>
        <w:numPr>
          <w:ilvl w:val="0"/>
          <w:numId w:val="1"/>
        </w:numPr>
        <w:spacing w:line="360" w:lineRule="auto"/>
        <w:ind w:left="0"/>
        <w:contextualSpacing/>
        <w:jc w:val="both"/>
        <w:rPr>
          <w:rFonts w:ascii="Verdana" w:hAnsi="Verdana"/>
          <w:color w:val="FF0000"/>
          <w:sz w:val="20"/>
          <w:szCs w:val="20"/>
          <w:lang w:val="es-CO"/>
        </w:rPr>
      </w:pPr>
      <w:proofErr w:type="spellStart"/>
      <w:r w:rsidRPr="007223C1">
        <w:rPr>
          <w:rFonts w:ascii="Verdana" w:hAnsi="Verdana"/>
          <w:color w:val="auto"/>
          <w:sz w:val="20"/>
          <w:szCs w:val="20"/>
          <w:lang w:val="es-CO"/>
        </w:rPr>
        <w:t>Gac</w:t>
      </w:r>
      <w:proofErr w:type="spellEnd"/>
      <w:r w:rsidRPr="007223C1">
        <w:rPr>
          <w:rFonts w:ascii="Verdana" w:hAnsi="Verdana"/>
          <w:color w:val="auto"/>
          <w:sz w:val="20"/>
          <w:szCs w:val="20"/>
          <w:lang w:val="es-CO"/>
        </w:rPr>
        <w:t xml:space="preserve"> H, Marín P, Castro S, </w:t>
      </w:r>
      <w:proofErr w:type="spellStart"/>
      <w:r w:rsidRPr="007223C1">
        <w:rPr>
          <w:rFonts w:ascii="Verdana" w:hAnsi="Verdana"/>
          <w:color w:val="auto"/>
          <w:sz w:val="20"/>
          <w:szCs w:val="20"/>
          <w:lang w:val="es-CO"/>
        </w:rPr>
        <w:t>Hoyl</w:t>
      </w:r>
      <w:proofErr w:type="spellEnd"/>
      <w:r w:rsidRPr="007223C1">
        <w:rPr>
          <w:rFonts w:ascii="Verdana" w:hAnsi="Verdana"/>
          <w:color w:val="auto"/>
          <w:sz w:val="20"/>
          <w:szCs w:val="20"/>
          <w:lang w:val="es-CO"/>
        </w:rPr>
        <w:t xml:space="preserve"> T, Valenzuela E. Caídas en adultos mayores institucionalizados: Descripción y evaluación geriátrica. Rev. </w:t>
      </w:r>
      <w:proofErr w:type="spellStart"/>
      <w:r w:rsidRPr="007223C1">
        <w:rPr>
          <w:rFonts w:ascii="Verdana" w:hAnsi="Verdana"/>
          <w:color w:val="auto"/>
          <w:sz w:val="20"/>
          <w:szCs w:val="20"/>
          <w:lang w:val="es-CO"/>
        </w:rPr>
        <w:t>méd</w:t>
      </w:r>
      <w:proofErr w:type="spellEnd"/>
      <w:r w:rsidRPr="007223C1">
        <w:rPr>
          <w:rFonts w:ascii="Verdana" w:hAnsi="Verdana"/>
          <w:color w:val="auto"/>
          <w:sz w:val="20"/>
          <w:szCs w:val="20"/>
          <w:lang w:val="es-CO"/>
        </w:rPr>
        <w:t xml:space="preserve">. Chile. 2003 [citado </w:t>
      </w:r>
      <w:r w:rsidR="003F2150">
        <w:rPr>
          <w:rFonts w:ascii="Verdana" w:hAnsi="Verdana"/>
          <w:color w:val="auto"/>
          <w:sz w:val="20"/>
          <w:szCs w:val="20"/>
          <w:lang w:val="es-CO"/>
        </w:rPr>
        <w:t xml:space="preserve">14 </w:t>
      </w:r>
      <w:r w:rsidRPr="007223C1">
        <w:rPr>
          <w:rFonts w:ascii="Verdana" w:hAnsi="Verdana"/>
          <w:color w:val="auto"/>
          <w:sz w:val="20"/>
          <w:szCs w:val="20"/>
          <w:lang w:val="es-CO"/>
        </w:rPr>
        <w:t xml:space="preserve">Feb </w:t>
      </w:r>
      <w:r w:rsidR="003F2150">
        <w:rPr>
          <w:rFonts w:ascii="Verdana" w:hAnsi="Verdana"/>
          <w:color w:val="auto"/>
          <w:sz w:val="20"/>
          <w:szCs w:val="20"/>
          <w:lang w:val="es-CO"/>
        </w:rPr>
        <w:t>2018</w:t>
      </w:r>
      <w:r w:rsidRPr="007223C1">
        <w:rPr>
          <w:rFonts w:ascii="Verdana" w:hAnsi="Verdana"/>
          <w:color w:val="auto"/>
          <w:sz w:val="20"/>
          <w:szCs w:val="20"/>
          <w:lang w:val="es-CO"/>
        </w:rPr>
        <w:t>]</w:t>
      </w:r>
      <w:proofErr w:type="gramStart"/>
      <w:r w:rsidRPr="007223C1">
        <w:rPr>
          <w:rFonts w:ascii="Verdana" w:hAnsi="Verdana"/>
          <w:color w:val="auto"/>
          <w:sz w:val="20"/>
          <w:szCs w:val="20"/>
          <w:lang w:val="es-CO"/>
        </w:rPr>
        <w:t>;131</w:t>
      </w:r>
      <w:proofErr w:type="gramEnd"/>
      <w:r w:rsidRPr="007223C1">
        <w:rPr>
          <w:rFonts w:ascii="Verdana" w:hAnsi="Verdana"/>
          <w:color w:val="auto"/>
          <w:sz w:val="20"/>
          <w:szCs w:val="20"/>
          <w:lang w:val="es-CO"/>
        </w:rPr>
        <w:t xml:space="preserve">(8):887-94. Disponible en: </w:t>
      </w:r>
      <w:hyperlink r:id="rId10" w:anchor="3" w:history="1">
        <w:r w:rsidRPr="007223C1">
          <w:rPr>
            <w:rFonts w:ascii="Verdana" w:hAnsi="Verdana"/>
            <w:color w:val="0563C1" w:themeColor="hyperlink"/>
            <w:sz w:val="20"/>
            <w:szCs w:val="20"/>
            <w:u w:val="single"/>
            <w:lang w:val="es-CO"/>
          </w:rPr>
          <w:t>http://www.scielo.cl/scielo.php?script=sci_arttext&amp;pid=S0034-98872003000800008#3</w:t>
        </w:r>
      </w:hyperlink>
    </w:p>
    <w:p w14:paraId="1A23D2A0" w14:textId="25B9BD60" w:rsidR="00011243" w:rsidRPr="007223C1" w:rsidRDefault="00624FB3" w:rsidP="007223C1">
      <w:pPr>
        <w:widowControl/>
        <w:numPr>
          <w:ilvl w:val="0"/>
          <w:numId w:val="1"/>
        </w:numPr>
        <w:spacing w:line="360" w:lineRule="auto"/>
        <w:ind w:left="0"/>
        <w:contextualSpacing/>
        <w:jc w:val="both"/>
        <w:rPr>
          <w:rFonts w:ascii="Verdana" w:hAnsi="Verdana"/>
          <w:color w:val="FF0000"/>
          <w:sz w:val="20"/>
          <w:szCs w:val="20"/>
        </w:rPr>
      </w:pPr>
      <w:r w:rsidRPr="007223C1">
        <w:rPr>
          <w:rFonts w:ascii="Verdana" w:hAnsi="Verdana"/>
          <w:color w:val="auto"/>
          <w:sz w:val="20"/>
          <w:szCs w:val="20"/>
        </w:rPr>
        <w:t xml:space="preserve">King G, Abreu E, Cheng A, Chertoff K, </w:t>
      </w:r>
      <w:proofErr w:type="spellStart"/>
      <w:r w:rsidRPr="007223C1">
        <w:rPr>
          <w:rFonts w:ascii="Verdana" w:hAnsi="Verdana"/>
          <w:color w:val="auto"/>
          <w:sz w:val="20"/>
          <w:szCs w:val="20"/>
        </w:rPr>
        <w:t>Brotto</w:t>
      </w:r>
      <w:proofErr w:type="spellEnd"/>
      <w:r w:rsidRPr="007223C1">
        <w:rPr>
          <w:rFonts w:ascii="Verdana" w:hAnsi="Verdana"/>
          <w:color w:val="auto"/>
          <w:sz w:val="20"/>
          <w:szCs w:val="20"/>
        </w:rPr>
        <w:t xml:space="preserve"> L, Kelly P, </w:t>
      </w:r>
      <w:r w:rsidR="00400EBB">
        <w:rPr>
          <w:rFonts w:ascii="Verdana" w:hAnsi="Verdana"/>
          <w:color w:val="auto"/>
          <w:sz w:val="20"/>
          <w:szCs w:val="20"/>
        </w:rPr>
        <w:t>et al</w:t>
      </w:r>
      <w:r w:rsidRPr="007223C1">
        <w:rPr>
          <w:rFonts w:ascii="Verdana" w:hAnsi="Verdana"/>
          <w:color w:val="auto"/>
          <w:sz w:val="20"/>
          <w:szCs w:val="20"/>
        </w:rPr>
        <w:t>. A multimodal assessment of balance in elderly and young adul</w:t>
      </w:r>
      <w:r w:rsidR="00C3171F">
        <w:rPr>
          <w:rFonts w:ascii="Verdana" w:hAnsi="Verdana"/>
          <w:color w:val="auto"/>
          <w:sz w:val="20"/>
          <w:szCs w:val="20"/>
        </w:rPr>
        <w:t xml:space="preserve">ts. Rev. </w:t>
      </w:r>
      <w:proofErr w:type="spellStart"/>
      <w:r w:rsidR="00C3171F">
        <w:rPr>
          <w:rFonts w:ascii="Verdana" w:hAnsi="Verdana"/>
          <w:color w:val="auto"/>
          <w:sz w:val="20"/>
          <w:szCs w:val="20"/>
        </w:rPr>
        <w:t>Oncotarget</w:t>
      </w:r>
      <w:proofErr w:type="spellEnd"/>
      <w:r w:rsidR="00C3171F">
        <w:rPr>
          <w:rFonts w:ascii="Verdana" w:hAnsi="Verdana"/>
          <w:color w:val="auto"/>
          <w:sz w:val="20"/>
          <w:szCs w:val="20"/>
        </w:rPr>
        <w:t>. 2016</w:t>
      </w:r>
      <w:proofErr w:type="gramStart"/>
      <w:r w:rsidR="00C3171F">
        <w:rPr>
          <w:rFonts w:ascii="Verdana" w:hAnsi="Verdana"/>
          <w:color w:val="auto"/>
          <w:sz w:val="20"/>
          <w:szCs w:val="20"/>
        </w:rPr>
        <w:t>;7</w:t>
      </w:r>
      <w:proofErr w:type="gramEnd"/>
      <w:r w:rsidR="00C3171F">
        <w:rPr>
          <w:rFonts w:ascii="Verdana" w:hAnsi="Verdana"/>
          <w:color w:val="auto"/>
          <w:sz w:val="20"/>
          <w:szCs w:val="20"/>
        </w:rPr>
        <w:t>(12):13297-306.</w:t>
      </w:r>
    </w:p>
    <w:p w14:paraId="6B540F80" w14:textId="6608771F" w:rsidR="00011243" w:rsidRPr="007223C1" w:rsidRDefault="00624FB3" w:rsidP="007223C1">
      <w:pPr>
        <w:widowControl/>
        <w:numPr>
          <w:ilvl w:val="0"/>
          <w:numId w:val="1"/>
        </w:numPr>
        <w:spacing w:line="360" w:lineRule="auto"/>
        <w:ind w:left="0"/>
        <w:contextualSpacing/>
        <w:jc w:val="both"/>
        <w:rPr>
          <w:rFonts w:ascii="Verdana" w:hAnsi="Verdana"/>
          <w:color w:val="auto"/>
          <w:sz w:val="20"/>
          <w:szCs w:val="20"/>
        </w:rPr>
      </w:pPr>
      <w:proofErr w:type="spellStart"/>
      <w:r w:rsidRPr="007223C1">
        <w:rPr>
          <w:rFonts w:ascii="Verdana" w:hAnsi="Verdana"/>
          <w:color w:val="auto"/>
          <w:sz w:val="20"/>
          <w:szCs w:val="20"/>
        </w:rPr>
        <w:t>Pahor</w:t>
      </w:r>
      <w:proofErr w:type="spellEnd"/>
      <w:r w:rsidRPr="007223C1">
        <w:rPr>
          <w:rFonts w:ascii="Verdana" w:hAnsi="Verdana"/>
          <w:color w:val="auto"/>
          <w:sz w:val="20"/>
          <w:szCs w:val="20"/>
        </w:rPr>
        <w:t xml:space="preserve"> M, </w:t>
      </w:r>
      <w:proofErr w:type="spellStart"/>
      <w:r w:rsidRPr="007223C1">
        <w:rPr>
          <w:rFonts w:ascii="Verdana" w:hAnsi="Verdana"/>
          <w:color w:val="auto"/>
          <w:sz w:val="20"/>
          <w:szCs w:val="20"/>
        </w:rPr>
        <w:t>Manini</w:t>
      </w:r>
      <w:proofErr w:type="spellEnd"/>
      <w:r w:rsidRPr="007223C1">
        <w:rPr>
          <w:rFonts w:ascii="Verdana" w:hAnsi="Verdana"/>
          <w:color w:val="auto"/>
          <w:sz w:val="20"/>
          <w:szCs w:val="20"/>
        </w:rPr>
        <w:t xml:space="preserve"> T, </w:t>
      </w:r>
      <w:proofErr w:type="spellStart"/>
      <w:r w:rsidRPr="007223C1">
        <w:rPr>
          <w:rFonts w:ascii="Verdana" w:hAnsi="Verdana"/>
          <w:color w:val="auto"/>
          <w:sz w:val="20"/>
          <w:szCs w:val="20"/>
        </w:rPr>
        <w:t>Cesari</w:t>
      </w:r>
      <w:proofErr w:type="spellEnd"/>
      <w:r w:rsidRPr="007223C1">
        <w:rPr>
          <w:rFonts w:ascii="Verdana" w:hAnsi="Verdana"/>
          <w:color w:val="auto"/>
          <w:sz w:val="20"/>
          <w:szCs w:val="20"/>
        </w:rPr>
        <w:t xml:space="preserve"> M. </w:t>
      </w:r>
      <w:proofErr w:type="spellStart"/>
      <w:r w:rsidRPr="007223C1">
        <w:rPr>
          <w:rFonts w:ascii="Verdana" w:hAnsi="Verdana"/>
          <w:color w:val="auto"/>
          <w:sz w:val="20"/>
          <w:szCs w:val="20"/>
        </w:rPr>
        <w:t>Sarcopenia</w:t>
      </w:r>
      <w:proofErr w:type="spellEnd"/>
      <w:r w:rsidRPr="007223C1">
        <w:rPr>
          <w:rFonts w:ascii="Verdana" w:hAnsi="Verdana"/>
          <w:color w:val="auto"/>
          <w:sz w:val="20"/>
          <w:szCs w:val="20"/>
        </w:rPr>
        <w:t>: Clinical evaluation, biological markers and other evaluation tools. The journal of nutrition, health &amp; aging. 2009</w:t>
      </w:r>
      <w:proofErr w:type="gramStart"/>
      <w:r w:rsidRPr="007223C1">
        <w:rPr>
          <w:rFonts w:ascii="Verdana" w:hAnsi="Verdana"/>
          <w:color w:val="auto"/>
          <w:sz w:val="20"/>
          <w:szCs w:val="20"/>
        </w:rPr>
        <w:t>;</w:t>
      </w:r>
      <w:r w:rsidR="005C58B7">
        <w:rPr>
          <w:rFonts w:ascii="Verdana" w:hAnsi="Verdana"/>
          <w:color w:val="auto"/>
          <w:sz w:val="20"/>
          <w:szCs w:val="20"/>
        </w:rPr>
        <w:t>13:724</w:t>
      </w:r>
      <w:proofErr w:type="gramEnd"/>
      <w:r w:rsidR="005C58B7">
        <w:rPr>
          <w:rFonts w:ascii="Verdana" w:hAnsi="Verdana"/>
          <w:color w:val="auto"/>
          <w:sz w:val="20"/>
          <w:szCs w:val="20"/>
        </w:rPr>
        <w:t>-</w:t>
      </w:r>
      <w:r w:rsidRPr="007223C1">
        <w:rPr>
          <w:rFonts w:ascii="Verdana" w:hAnsi="Verdana"/>
          <w:color w:val="auto"/>
          <w:sz w:val="20"/>
          <w:szCs w:val="20"/>
        </w:rPr>
        <w:t>8.</w:t>
      </w:r>
    </w:p>
    <w:p w14:paraId="12E3975E" w14:textId="246F92F2" w:rsidR="00011243" w:rsidRPr="007223C1" w:rsidRDefault="00624FB3" w:rsidP="007223C1">
      <w:pPr>
        <w:widowControl/>
        <w:numPr>
          <w:ilvl w:val="0"/>
          <w:numId w:val="1"/>
        </w:numPr>
        <w:spacing w:line="360" w:lineRule="auto"/>
        <w:ind w:left="0"/>
        <w:jc w:val="both"/>
        <w:rPr>
          <w:rFonts w:ascii="Verdana" w:hAnsi="Verdana"/>
          <w:color w:val="auto"/>
          <w:sz w:val="20"/>
          <w:szCs w:val="20"/>
          <w:lang w:val="es-CO"/>
        </w:rPr>
      </w:pPr>
      <w:r w:rsidRPr="007223C1">
        <w:rPr>
          <w:rFonts w:ascii="Verdana" w:hAnsi="Verdana"/>
          <w:color w:val="auto"/>
          <w:sz w:val="20"/>
          <w:szCs w:val="20"/>
        </w:rPr>
        <w:lastRenderedPageBreak/>
        <w:t xml:space="preserve">Morley JE. </w:t>
      </w:r>
      <w:proofErr w:type="spellStart"/>
      <w:r w:rsidRPr="007223C1">
        <w:rPr>
          <w:rFonts w:ascii="Verdana" w:hAnsi="Verdana"/>
          <w:color w:val="auto"/>
          <w:sz w:val="20"/>
          <w:szCs w:val="20"/>
        </w:rPr>
        <w:t>Sarcopenia</w:t>
      </w:r>
      <w:proofErr w:type="spellEnd"/>
      <w:r w:rsidRPr="007223C1">
        <w:rPr>
          <w:rFonts w:ascii="Verdana" w:hAnsi="Verdana"/>
          <w:color w:val="auto"/>
          <w:sz w:val="20"/>
          <w:szCs w:val="20"/>
        </w:rPr>
        <w:t xml:space="preserve">: Diagnosis and treatment. The journal of nutrition, health &amp; aging. </w:t>
      </w:r>
      <w:r w:rsidRPr="007223C1">
        <w:rPr>
          <w:rFonts w:ascii="Verdana" w:hAnsi="Verdana"/>
          <w:color w:val="auto"/>
          <w:sz w:val="20"/>
          <w:szCs w:val="20"/>
          <w:lang w:val="es-CO"/>
        </w:rPr>
        <w:t>2008</w:t>
      </w:r>
      <w:proofErr w:type="gramStart"/>
      <w:r w:rsidRPr="007223C1">
        <w:rPr>
          <w:rFonts w:ascii="Verdana" w:hAnsi="Verdana"/>
          <w:color w:val="auto"/>
          <w:sz w:val="20"/>
          <w:szCs w:val="20"/>
          <w:lang w:val="es-CO"/>
        </w:rPr>
        <w:t>;12:452</w:t>
      </w:r>
      <w:proofErr w:type="gramEnd"/>
      <w:r w:rsidRPr="007223C1">
        <w:rPr>
          <w:rFonts w:ascii="Verdana" w:hAnsi="Verdana"/>
          <w:color w:val="auto"/>
          <w:sz w:val="20"/>
          <w:szCs w:val="20"/>
          <w:lang w:val="es-CO"/>
        </w:rPr>
        <w:t>-6.</w:t>
      </w:r>
    </w:p>
    <w:p w14:paraId="403299FC" w14:textId="614FADF2" w:rsidR="00011243" w:rsidRPr="007223C1" w:rsidRDefault="00624FB3" w:rsidP="007223C1">
      <w:pPr>
        <w:widowControl/>
        <w:numPr>
          <w:ilvl w:val="0"/>
          <w:numId w:val="1"/>
        </w:numPr>
        <w:spacing w:line="360" w:lineRule="auto"/>
        <w:ind w:left="0"/>
        <w:contextualSpacing/>
        <w:jc w:val="both"/>
        <w:rPr>
          <w:rFonts w:ascii="Verdana" w:hAnsi="Verdana"/>
          <w:sz w:val="20"/>
          <w:szCs w:val="20"/>
        </w:rPr>
      </w:pPr>
      <w:r w:rsidRPr="007223C1">
        <w:rPr>
          <w:rFonts w:ascii="Verdana" w:hAnsi="Verdana"/>
          <w:sz w:val="20"/>
          <w:szCs w:val="20"/>
        </w:rPr>
        <w:t xml:space="preserve">Peterson MD, Rhea MR, </w:t>
      </w:r>
      <w:proofErr w:type="spellStart"/>
      <w:r w:rsidRPr="007223C1">
        <w:rPr>
          <w:rFonts w:ascii="Verdana" w:hAnsi="Verdana"/>
          <w:sz w:val="20"/>
          <w:szCs w:val="20"/>
        </w:rPr>
        <w:t>Sen</w:t>
      </w:r>
      <w:proofErr w:type="spellEnd"/>
      <w:r w:rsidRPr="007223C1">
        <w:rPr>
          <w:rFonts w:ascii="Verdana" w:hAnsi="Verdana"/>
          <w:sz w:val="20"/>
          <w:szCs w:val="20"/>
        </w:rPr>
        <w:t xml:space="preserve"> A, Gordon P. Resistance exercise for muscular strength in older adults: A meta-analysis. Ageing Research Reviews. 2010</w:t>
      </w:r>
      <w:proofErr w:type="gramStart"/>
      <w:r w:rsidRPr="007223C1">
        <w:rPr>
          <w:rFonts w:ascii="Verdana" w:hAnsi="Verdana"/>
          <w:sz w:val="20"/>
          <w:szCs w:val="20"/>
        </w:rPr>
        <w:t>;9</w:t>
      </w:r>
      <w:proofErr w:type="gramEnd"/>
      <w:r w:rsidRPr="007223C1">
        <w:rPr>
          <w:rFonts w:ascii="Verdana" w:hAnsi="Verdana"/>
          <w:sz w:val="20"/>
          <w:szCs w:val="20"/>
        </w:rPr>
        <w:t>(3):226-37.</w:t>
      </w:r>
    </w:p>
    <w:p w14:paraId="704A3229" w14:textId="0885EB26" w:rsidR="00011243" w:rsidRPr="007223C1" w:rsidRDefault="00624FB3" w:rsidP="007223C1">
      <w:pPr>
        <w:widowControl/>
        <w:numPr>
          <w:ilvl w:val="0"/>
          <w:numId w:val="1"/>
        </w:numPr>
        <w:spacing w:line="360" w:lineRule="auto"/>
        <w:ind w:left="0"/>
        <w:contextualSpacing/>
        <w:jc w:val="both"/>
        <w:rPr>
          <w:rFonts w:ascii="Verdana" w:hAnsi="Verdana"/>
          <w:sz w:val="20"/>
          <w:szCs w:val="20"/>
        </w:rPr>
      </w:pPr>
      <w:r w:rsidRPr="007223C1">
        <w:rPr>
          <w:rFonts w:ascii="Verdana" w:hAnsi="Verdana"/>
          <w:sz w:val="20"/>
          <w:szCs w:val="20"/>
        </w:rPr>
        <w:t>Reid KF</w:t>
      </w:r>
      <w:r w:rsidR="005169C8">
        <w:rPr>
          <w:rFonts w:ascii="Verdana" w:hAnsi="Verdana"/>
          <w:sz w:val="20"/>
          <w:szCs w:val="20"/>
        </w:rPr>
        <w:t>,</w:t>
      </w:r>
      <w:r w:rsidRPr="007223C1">
        <w:rPr>
          <w:rFonts w:ascii="Verdana" w:hAnsi="Verdana"/>
          <w:sz w:val="20"/>
          <w:szCs w:val="20"/>
        </w:rPr>
        <w:t xml:space="preserve"> Fielding RA. Skeletal muscle power: a critical determinant of physical functioning in older adults. </w:t>
      </w:r>
      <w:proofErr w:type="spellStart"/>
      <w:r w:rsidRPr="007223C1">
        <w:rPr>
          <w:rFonts w:ascii="Verdana" w:hAnsi="Verdana"/>
          <w:sz w:val="20"/>
          <w:szCs w:val="20"/>
        </w:rPr>
        <w:t>Exerc</w:t>
      </w:r>
      <w:proofErr w:type="spellEnd"/>
      <w:r w:rsidRPr="007223C1">
        <w:rPr>
          <w:rFonts w:ascii="Verdana" w:hAnsi="Verdana"/>
          <w:sz w:val="20"/>
          <w:szCs w:val="20"/>
        </w:rPr>
        <w:t>. Sport Sci. Rev. 2012</w:t>
      </w:r>
      <w:proofErr w:type="gramStart"/>
      <w:r w:rsidRPr="007223C1">
        <w:rPr>
          <w:rFonts w:ascii="Verdana" w:hAnsi="Verdana"/>
          <w:sz w:val="20"/>
          <w:szCs w:val="20"/>
        </w:rPr>
        <w:t>;40</w:t>
      </w:r>
      <w:proofErr w:type="gramEnd"/>
      <w:r w:rsidRPr="007223C1">
        <w:rPr>
          <w:rFonts w:ascii="Verdana" w:hAnsi="Verdana"/>
          <w:sz w:val="20"/>
          <w:szCs w:val="20"/>
        </w:rPr>
        <w:t>(1):4-12.</w:t>
      </w:r>
    </w:p>
    <w:p w14:paraId="69733206" w14:textId="0D48AE34" w:rsidR="00011243" w:rsidRPr="007223C1" w:rsidRDefault="00624FB3" w:rsidP="007223C1">
      <w:pPr>
        <w:widowControl/>
        <w:numPr>
          <w:ilvl w:val="0"/>
          <w:numId w:val="1"/>
        </w:numPr>
        <w:spacing w:line="360" w:lineRule="auto"/>
        <w:ind w:left="0"/>
        <w:contextualSpacing/>
        <w:jc w:val="both"/>
        <w:rPr>
          <w:rFonts w:ascii="Verdana" w:hAnsi="Verdana"/>
          <w:sz w:val="20"/>
          <w:szCs w:val="20"/>
        </w:rPr>
      </w:pPr>
      <w:r w:rsidRPr="007223C1">
        <w:rPr>
          <w:rFonts w:ascii="Verdana" w:hAnsi="Verdana"/>
          <w:sz w:val="20"/>
          <w:szCs w:val="20"/>
        </w:rPr>
        <w:t xml:space="preserve">Newman A, </w:t>
      </w:r>
      <w:proofErr w:type="spellStart"/>
      <w:r w:rsidRPr="007223C1">
        <w:rPr>
          <w:rFonts w:ascii="Verdana" w:hAnsi="Verdana"/>
          <w:sz w:val="20"/>
          <w:szCs w:val="20"/>
        </w:rPr>
        <w:t>Kupelian</w:t>
      </w:r>
      <w:proofErr w:type="spellEnd"/>
      <w:r w:rsidRPr="007223C1">
        <w:rPr>
          <w:rFonts w:ascii="Verdana" w:hAnsi="Verdana"/>
          <w:sz w:val="20"/>
          <w:szCs w:val="20"/>
        </w:rPr>
        <w:t xml:space="preserve"> V, </w:t>
      </w:r>
      <w:proofErr w:type="spellStart"/>
      <w:r w:rsidRPr="007223C1">
        <w:rPr>
          <w:rFonts w:ascii="Verdana" w:hAnsi="Verdana"/>
          <w:sz w:val="20"/>
          <w:szCs w:val="20"/>
        </w:rPr>
        <w:t>Visser</w:t>
      </w:r>
      <w:proofErr w:type="spellEnd"/>
      <w:r w:rsidRPr="007223C1">
        <w:rPr>
          <w:rFonts w:ascii="Verdana" w:hAnsi="Verdana"/>
          <w:sz w:val="20"/>
          <w:szCs w:val="20"/>
        </w:rPr>
        <w:t xml:space="preserve"> M, </w:t>
      </w:r>
      <w:proofErr w:type="spellStart"/>
      <w:r w:rsidRPr="007223C1">
        <w:rPr>
          <w:rFonts w:ascii="Verdana" w:hAnsi="Verdana"/>
          <w:sz w:val="20"/>
          <w:szCs w:val="20"/>
        </w:rPr>
        <w:t>Simonsick</w:t>
      </w:r>
      <w:proofErr w:type="spellEnd"/>
      <w:r w:rsidRPr="007223C1">
        <w:rPr>
          <w:rFonts w:ascii="Verdana" w:hAnsi="Verdana"/>
          <w:sz w:val="20"/>
          <w:szCs w:val="20"/>
        </w:rPr>
        <w:t xml:space="preserve"> E, </w:t>
      </w:r>
      <w:proofErr w:type="spellStart"/>
      <w:r w:rsidRPr="007223C1">
        <w:rPr>
          <w:rFonts w:ascii="Verdana" w:hAnsi="Verdana"/>
          <w:sz w:val="20"/>
          <w:szCs w:val="20"/>
        </w:rPr>
        <w:t>Goodpaster</w:t>
      </w:r>
      <w:proofErr w:type="spellEnd"/>
      <w:r w:rsidRPr="007223C1">
        <w:rPr>
          <w:rFonts w:ascii="Verdana" w:hAnsi="Verdana"/>
          <w:sz w:val="20"/>
          <w:szCs w:val="20"/>
        </w:rPr>
        <w:t xml:space="preserve"> BH, </w:t>
      </w:r>
      <w:proofErr w:type="spellStart"/>
      <w:r w:rsidRPr="007223C1">
        <w:rPr>
          <w:rFonts w:ascii="Verdana" w:hAnsi="Verdana"/>
          <w:sz w:val="20"/>
          <w:szCs w:val="20"/>
        </w:rPr>
        <w:t>Kritchevsky</w:t>
      </w:r>
      <w:proofErr w:type="spellEnd"/>
      <w:r w:rsidRPr="007223C1">
        <w:rPr>
          <w:rFonts w:ascii="Verdana" w:hAnsi="Verdana"/>
          <w:sz w:val="20"/>
          <w:szCs w:val="20"/>
        </w:rPr>
        <w:t xml:space="preserve"> SB</w:t>
      </w:r>
      <w:r w:rsidR="00220BE2">
        <w:rPr>
          <w:rFonts w:ascii="Verdana" w:hAnsi="Verdana"/>
          <w:sz w:val="20"/>
          <w:szCs w:val="20"/>
        </w:rPr>
        <w:t>, et al</w:t>
      </w:r>
      <w:r w:rsidRPr="007223C1">
        <w:rPr>
          <w:rFonts w:ascii="Verdana" w:hAnsi="Verdana"/>
          <w:sz w:val="20"/>
          <w:szCs w:val="20"/>
        </w:rPr>
        <w:t xml:space="preserve">. Strength but not Muscle Mass is Associated with Mortality in the Health, Aging and Body Composition Study Cohort. J Gerontol A </w:t>
      </w:r>
      <w:proofErr w:type="spellStart"/>
      <w:r w:rsidRPr="007223C1">
        <w:rPr>
          <w:rFonts w:ascii="Verdana" w:hAnsi="Verdana"/>
          <w:sz w:val="20"/>
          <w:szCs w:val="20"/>
        </w:rPr>
        <w:t>Biol</w:t>
      </w:r>
      <w:proofErr w:type="spellEnd"/>
      <w:r w:rsidRPr="007223C1">
        <w:rPr>
          <w:rFonts w:ascii="Verdana" w:hAnsi="Verdana"/>
          <w:sz w:val="20"/>
          <w:szCs w:val="20"/>
        </w:rPr>
        <w:t xml:space="preserve"> </w:t>
      </w:r>
      <w:proofErr w:type="spellStart"/>
      <w:r w:rsidRPr="007223C1">
        <w:rPr>
          <w:rFonts w:ascii="Verdana" w:hAnsi="Verdana"/>
          <w:sz w:val="20"/>
          <w:szCs w:val="20"/>
        </w:rPr>
        <w:t>Sci</w:t>
      </w:r>
      <w:proofErr w:type="spellEnd"/>
      <w:r w:rsidRPr="007223C1">
        <w:rPr>
          <w:rFonts w:ascii="Verdana" w:hAnsi="Verdana"/>
          <w:sz w:val="20"/>
          <w:szCs w:val="20"/>
        </w:rPr>
        <w:t xml:space="preserve"> Med Sci</w:t>
      </w:r>
      <w:r w:rsidR="00E11488">
        <w:rPr>
          <w:rFonts w:ascii="Verdana" w:hAnsi="Verdana"/>
          <w:sz w:val="20"/>
          <w:szCs w:val="20"/>
        </w:rPr>
        <w:t>.</w:t>
      </w:r>
      <w:r w:rsidRPr="007223C1">
        <w:rPr>
          <w:rFonts w:ascii="Verdana" w:hAnsi="Verdana"/>
          <w:sz w:val="20"/>
          <w:szCs w:val="20"/>
        </w:rPr>
        <w:t xml:space="preserve"> 2006</w:t>
      </w:r>
      <w:proofErr w:type="gramStart"/>
      <w:r w:rsidRPr="007223C1">
        <w:rPr>
          <w:rFonts w:ascii="Verdana" w:hAnsi="Verdana"/>
          <w:sz w:val="20"/>
          <w:szCs w:val="20"/>
        </w:rPr>
        <w:t>;61</w:t>
      </w:r>
      <w:proofErr w:type="gramEnd"/>
      <w:r w:rsidRPr="007223C1">
        <w:rPr>
          <w:rFonts w:ascii="Verdana" w:hAnsi="Verdana"/>
          <w:sz w:val="20"/>
          <w:szCs w:val="20"/>
        </w:rPr>
        <w:t>(1):72-7.</w:t>
      </w:r>
    </w:p>
    <w:p w14:paraId="0352F603" w14:textId="77777777" w:rsidR="00011243" w:rsidRPr="007223C1" w:rsidRDefault="00624FB3" w:rsidP="007223C1">
      <w:pPr>
        <w:widowControl/>
        <w:numPr>
          <w:ilvl w:val="0"/>
          <w:numId w:val="1"/>
        </w:numPr>
        <w:spacing w:line="360" w:lineRule="auto"/>
        <w:ind w:left="0"/>
        <w:contextualSpacing/>
        <w:jc w:val="both"/>
        <w:rPr>
          <w:rFonts w:ascii="Verdana" w:hAnsi="Verdana"/>
          <w:sz w:val="20"/>
          <w:szCs w:val="20"/>
          <w:lang w:val="es-CO"/>
        </w:rPr>
      </w:pPr>
      <w:r w:rsidRPr="007223C1">
        <w:rPr>
          <w:rFonts w:ascii="Verdana" w:hAnsi="Verdana"/>
          <w:sz w:val="20"/>
          <w:szCs w:val="20"/>
          <w:lang w:val="es-CO"/>
        </w:rPr>
        <w:t xml:space="preserve">Casas A, </w:t>
      </w:r>
      <w:proofErr w:type="spellStart"/>
      <w:r w:rsidRPr="007223C1">
        <w:rPr>
          <w:rFonts w:ascii="Verdana" w:hAnsi="Verdana"/>
          <w:sz w:val="20"/>
          <w:szCs w:val="20"/>
          <w:lang w:val="es-CO"/>
        </w:rPr>
        <w:t>Cadore</w:t>
      </w:r>
      <w:proofErr w:type="spellEnd"/>
      <w:r w:rsidRPr="007223C1">
        <w:rPr>
          <w:rFonts w:ascii="Verdana" w:hAnsi="Verdana"/>
          <w:sz w:val="20"/>
          <w:szCs w:val="20"/>
          <w:lang w:val="es-CO"/>
        </w:rPr>
        <w:t xml:space="preserve"> E, </w:t>
      </w:r>
      <w:proofErr w:type="spellStart"/>
      <w:r w:rsidRPr="007223C1">
        <w:rPr>
          <w:rFonts w:ascii="Verdana" w:hAnsi="Verdana"/>
          <w:sz w:val="20"/>
          <w:szCs w:val="20"/>
          <w:lang w:val="es-CO"/>
        </w:rPr>
        <w:t>Martinez</w:t>
      </w:r>
      <w:proofErr w:type="spellEnd"/>
      <w:r w:rsidRPr="007223C1">
        <w:rPr>
          <w:rFonts w:ascii="Verdana" w:hAnsi="Verdana"/>
          <w:sz w:val="20"/>
          <w:szCs w:val="20"/>
          <w:lang w:val="es-CO"/>
        </w:rPr>
        <w:t xml:space="preserve"> N, Izquierdo M. El ejercicio físico en el anciano frágil: una actualización. Rev Esp Geriatr Gerontol. 2015</w:t>
      </w:r>
      <w:proofErr w:type="gramStart"/>
      <w:r w:rsidRPr="007223C1">
        <w:rPr>
          <w:rFonts w:ascii="Verdana" w:hAnsi="Verdana"/>
          <w:sz w:val="20"/>
          <w:szCs w:val="20"/>
          <w:lang w:val="es-CO"/>
        </w:rPr>
        <w:t>;50</w:t>
      </w:r>
      <w:proofErr w:type="gramEnd"/>
      <w:r w:rsidRPr="007223C1">
        <w:rPr>
          <w:rFonts w:ascii="Verdana" w:hAnsi="Verdana"/>
          <w:sz w:val="20"/>
          <w:szCs w:val="20"/>
          <w:lang w:val="es-CO"/>
        </w:rPr>
        <w:t>(2):74-81.</w:t>
      </w:r>
    </w:p>
    <w:p w14:paraId="31791CC1" w14:textId="5E31A18C" w:rsidR="00CC23B4" w:rsidRPr="00C77DF1" w:rsidRDefault="00624FB3" w:rsidP="004305FE">
      <w:pPr>
        <w:widowControl/>
        <w:numPr>
          <w:ilvl w:val="0"/>
          <w:numId w:val="1"/>
        </w:numPr>
        <w:shd w:val="clear" w:color="auto" w:fill="FFFFFF"/>
        <w:spacing w:line="360" w:lineRule="auto"/>
        <w:ind w:left="0"/>
        <w:contextualSpacing/>
        <w:jc w:val="both"/>
        <w:textAlignment w:val="baseline"/>
        <w:rPr>
          <w:rFonts w:ascii="Verdana" w:hAnsi="Verdana"/>
          <w:sz w:val="20"/>
          <w:szCs w:val="20"/>
          <w:lang w:val="es-CO"/>
        </w:rPr>
      </w:pPr>
      <w:proofErr w:type="spellStart"/>
      <w:r w:rsidRPr="00C77DF1">
        <w:rPr>
          <w:rFonts w:ascii="Verdana" w:hAnsi="Verdana"/>
          <w:sz w:val="20"/>
          <w:szCs w:val="20"/>
          <w:lang w:val="pt-BR"/>
        </w:rPr>
        <w:t>Cadore</w:t>
      </w:r>
      <w:proofErr w:type="spellEnd"/>
      <w:r w:rsidRPr="00C77DF1">
        <w:rPr>
          <w:rFonts w:ascii="Verdana" w:hAnsi="Verdana"/>
          <w:sz w:val="20"/>
          <w:szCs w:val="20"/>
          <w:lang w:val="pt-BR"/>
        </w:rPr>
        <w:t xml:space="preserve"> E, Casas A, </w:t>
      </w:r>
      <w:proofErr w:type="spellStart"/>
      <w:r w:rsidRPr="00C77DF1">
        <w:rPr>
          <w:rFonts w:ascii="Verdana" w:hAnsi="Verdana"/>
          <w:sz w:val="20"/>
          <w:szCs w:val="20"/>
          <w:lang w:val="pt-BR"/>
        </w:rPr>
        <w:t>Zambon</w:t>
      </w:r>
      <w:proofErr w:type="spellEnd"/>
      <w:r w:rsidRPr="00C77DF1">
        <w:rPr>
          <w:rFonts w:ascii="Verdana" w:hAnsi="Verdana"/>
          <w:sz w:val="20"/>
          <w:szCs w:val="20"/>
          <w:lang w:val="pt-BR"/>
        </w:rPr>
        <w:t xml:space="preserve"> F, </w:t>
      </w:r>
      <w:proofErr w:type="spellStart"/>
      <w:r w:rsidRPr="00C77DF1">
        <w:rPr>
          <w:rFonts w:ascii="Verdana" w:hAnsi="Verdana"/>
          <w:sz w:val="20"/>
          <w:szCs w:val="20"/>
          <w:lang w:val="pt-BR"/>
        </w:rPr>
        <w:t>Idoate</w:t>
      </w:r>
      <w:proofErr w:type="spellEnd"/>
      <w:r w:rsidRPr="00C77DF1">
        <w:rPr>
          <w:rFonts w:ascii="Verdana" w:hAnsi="Verdana"/>
          <w:sz w:val="20"/>
          <w:szCs w:val="20"/>
          <w:lang w:val="pt-BR"/>
        </w:rPr>
        <w:t xml:space="preserve"> F, </w:t>
      </w:r>
      <w:proofErr w:type="spellStart"/>
      <w:r w:rsidRPr="00C77DF1">
        <w:rPr>
          <w:rFonts w:ascii="Verdana" w:hAnsi="Verdana"/>
          <w:sz w:val="20"/>
          <w:szCs w:val="20"/>
          <w:lang w:val="pt-BR"/>
        </w:rPr>
        <w:t>Millor</w:t>
      </w:r>
      <w:proofErr w:type="spellEnd"/>
      <w:r w:rsidRPr="00C77DF1">
        <w:rPr>
          <w:rFonts w:ascii="Verdana" w:hAnsi="Verdana"/>
          <w:sz w:val="20"/>
          <w:szCs w:val="20"/>
          <w:lang w:val="pt-BR"/>
        </w:rPr>
        <w:t xml:space="preserve"> N, Gómez M, et al. </w:t>
      </w:r>
      <w:r w:rsidRPr="00C77DF1">
        <w:rPr>
          <w:rFonts w:ascii="Verdana" w:hAnsi="Verdana"/>
          <w:sz w:val="20"/>
          <w:szCs w:val="20"/>
        </w:rPr>
        <w:t>Multicomponent exercises including muscle power training enhance muscle mass, power output, and functional outcomes in institutionalized frail nonagenarians. AGE. 2014</w:t>
      </w:r>
      <w:proofErr w:type="gramStart"/>
      <w:r w:rsidRPr="00C77DF1">
        <w:rPr>
          <w:rFonts w:ascii="Verdana" w:hAnsi="Verdana"/>
          <w:sz w:val="20"/>
          <w:szCs w:val="20"/>
        </w:rPr>
        <w:t>;</w:t>
      </w:r>
      <w:r w:rsidR="00E739FB" w:rsidRPr="00C77DF1">
        <w:rPr>
          <w:rFonts w:ascii="Verdana" w:hAnsi="Verdana"/>
          <w:sz w:val="20"/>
          <w:szCs w:val="20"/>
        </w:rPr>
        <w:t>36</w:t>
      </w:r>
      <w:proofErr w:type="gramEnd"/>
      <w:r w:rsidRPr="00C77DF1">
        <w:rPr>
          <w:rFonts w:ascii="Verdana" w:hAnsi="Verdana"/>
          <w:sz w:val="20"/>
          <w:szCs w:val="20"/>
        </w:rPr>
        <w:t>(2):773–85</w:t>
      </w:r>
      <w:r w:rsidR="00E739FB" w:rsidRPr="00C77DF1">
        <w:rPr>
          <w:rFonts w:ascii="Verdana" w:hAnsi="Verdana"/>
          <w:sz w:val="20"/>
          <w:szCs w:val="20"/>
        </w:rPr>
        <w:t>.</w:t>
      </w:r>
    </w:p>
    <w:p w14:paraId="764D220A" w14:textId="77777777" w:rsidR="00026E9B" w:rsidRPr="00C77DF1" w:rsidRDefault="00026E9B" w:rsidP="00C77DF1">
      <w:pPr>
        <w:spacing w:line="360" w:lineRule="auto"/>
        <w:jc w:val="both"/>
        <w:rPr>
          <w:rFonts w:ascii="Verdana" w:hAnsi="Verdana"/>
          <w:sz w:val="20"/>
          <w:szCs w:val="20"/>
          <w:lang w:val="es-CO"/>
        </w:rPr>
      </w:pPr>
    </w:p>
    <w:p w14:paraId="24DBB32A" w14:textId="1B7528F4" w:rsidR="00026E9B" w:rsidRPr="00C77DF1" w:rsidRDefault="00026E9B" w:rsidP="00C77DF1">
      <w:pPr>
        <w:tabs>
          <w:tab w:val="left" w:pos="2655"/>
        </w:tabs>
        <w:spacing w:line="360" w:lineRule="auto"/>
        <w:jc w:val="both"/>
        <w:rPr>
          <w:rFonts w:ascii="Verdana" w:hAnsi="Verdana"/>
          <w:sz w:val="20"/>
          <w:szCs w:val="20"/>
        </w:rPr>
      </w:pPr>
    </w:p>
    <w:p w14:paraId="24E6E025" w14:textId="77777777" w:rsidR="00F30D0B" w:rsidRPr="00C77DF1" w:rsidRDefault="00F30D0B" w:rsidP="00C77DF1">
      <w:pPr>
        <w:spacing w:line="360" w:lineRule="auto"/>
        <w:jc w:val="both"/>
        <w:rPr>
          <w:rFonts w:ascii="Verdana" w:hAnsi="Verdana" w:cs="Arial"/>
          <w:sz w:val="20"/>
          <w:szCs w:val="20"/>
          <w:lang w:val="es-CO"/>
        </w:rPr>
      </w:pPr>
    </w:p>
    <w:p w14:paraId="36760355" w14:textId="77777777" w:rsidR="00F30D0B" w:rsidRPr="00C77DF1" w:rsidRDefault="00F30D0B" w:rsidP="00C77DF1">
      <w:pPr>
        <w:spacing w:line="360" w:lineRule="auto"/>
        <w:jc w:val="both"/>
        <w:rPr>
          <w:rFonts w:ascii="Verdana" w:hAnsi="Verdana" w:cs="Arial"/>
          <w:sz w:val="20"/>
          <w:szCs w:val="20"/>
          <w:lang w:val="es-CO"/>
        </w:rPr>
      </w:pPr>
    </w:p>
    <w:p w14:paraId="12445565" w14:textId="3E318999" w:rsidR="00C77DF1" w:rsidRPr="00B10ECB" w:rsidRDefault="00E84C2D" w:rsidP="00C77DF1">
      <w:pPr>
        <w:spacing w:line="360" w:lineRule="auto"/>
        <w:jc w:val="both"/>
        <w:rPr>
          <w:rFonts w:ascii="Verdana" w:hAnsi="Verdana" w:cs="Arial"/>
          <w:sz w:val="20"/>
          <w:szCs w:val="20"/>
          <w:lang w:val="es-CO"/>
        </w:rPr>
      </w:pPr>
      <w:r w:rsidRPr="00B10ECB">
        <w:rPr>
          <w:rFonts w:ascii="Verdana" w:hAnsi="Verdana" w:cs="Arial"/>
          <w:sz w:val="20"/>
          <w:szCs w:val="20"/>
          <w:lang w:val="es-CO"/>
        </w:rPr>
        <w:t>Recibido: 7</w:t>
      </w:r>
      <w:r w:rsidR="00B10ECB">
        <w:rPr>
          <w:rFonts w:ascii="Verdana" w:hAnsi="Verdana" w:cs="Arial"/>
          <w:sz w:val="20"/>
          <w:szCs w:val="20"/>
          <w:lang w:val="es-CO"/>
        </w:rPr>
        <w:t xml:space="preserve"> de enero de </w:t>
      </w:r>
      <w:r w:rsidRPr="00B10ECB">
        <w:rPr>
          <w:rFonts w:ascii="Verdana" w:hAnsi="Verdana" w:cs="Arial"/>
          <w:sz w:val="20"/>
          <w:szCs w:val="20"/>
          <w:lang w:val="es-CO"/>
        </w:rPr>
        <w:t>2018</w:t>
      </w:r>
      <w:r w:rsidR="00B10ECB">
        <w:rPr>
          <w:rFonts w:ascii="Verdana" w:hAnsi="Verdana" w:cs="Arial"/>
          <w:sz w:val="20"/>
          <w:szCs w:val="20"/>
          <w:lang w:val="es-CO"/>
        </w:rPr>
        <w:t>.</w:t>
      </w:r>
    </w:p>
    <w:p w14:paraId="41D2A6D5" w14:textId="3B16EAC5" w:rsidR="00E84C2D" w:rsidRPr="00B10ECB" w:rsidRDefault="00E84C2D" w:rsidP="00C77DF1">
      <w:pPr>
        <w:spacing w:line="360" w:lineRule="auto"/>
        <w:jc w:val="both"/>
        <w:rPr>
          <w:rFonts w:ascii="Verdana" w:hAnsi="Verdana" w:cs="Arial"/>
          <w:sz w:val="20"/>
          <w:szCs w:val="20"/>
          <w:lang w:val="es-CO"/>
        </w:rPr>
      </w:pPr>
      <w:r w:rsidRPr="00B10ECB">
        <w:rPr>
          <w:rFonts w:ascii="Verdana" w:hAnsi="Verdana" w:cs="Arial"/>
          <w:sz w:val="20"/>
          <w:szCs w:val="20"/>
          <w:lang w:val="es-CO"/>
        </w:rPr>
        <w:t>Aprobado: 10</w:t>
      </w:r>
      <w:r w:rsidR="00B10ECB">
        <w:rPr>
          <w:rFonts w:ascii="Verdana" w:hAnsi="Verdana" w:cs="Arial"/>
          <w:sz w:val="20"/>
          <w:szCs w:val="20"/>
          <w:lang w:val="es-CO"/>
        </w:rPr>
        <w:t xml:space="preserve"> de febrero de 2</w:t>
      </w:r>
      <w:r w:rsidRPr="00B10ECB">
        <w:rPr>
          <w:rFonts w:ascii="Verdana" w:hAnsi="Verdana" w:cs="Arial"/>
          <w:sz w:val="20"/>
          <w:szCs w:val="20"/>
          <w:lang w:val="es-CO"/>
        </w:rPr>
        <w:t>018</w:t>
      </w:r>
      <w:r w:rsidR="00B10ECB">
        <w:rPr>
          <w:rFonts w:ascii="Verdana" w:hAnsi="Verdana" w:cs="Arial"/>
          <w:sz w:val="20"/>
          <w:szCs w:val="20"/>
          <w:lang w:val="es-CO"/>
        </w:rPr>
        <w:t>.</w:t>
      </w:r>
    </w:p>
    <w:p w14:paraId="6A6656A5" w14:textId="3023F6C0" w:rsidR="00CC23B4" w:rsidRDefault="00CC23B4" w:rsidP="007223C1">
      <w:pPr>
        <w:tabs>
          <w:tab w:val="left" w:pos="2655"/>
        </w:tabs>
        <w:spacing w:line="360" w:lineRule="auto"/>
        <w:rPr>
          <w:rFonts w:ascii="Verdana" w:hAnsi="Verdana"/>
          <w:sz w:val="20"/>
          <w:szCs w:val="20"/>
        </w:rPr>
      </w:pPr>
    </w:p>
    <w:p w14:paraId="6EBDED1A" w14:textId="073DF7FC" w:rsidR="00067E8A" w:rsidRDefault="00067E8A" w:rsidP="007223C1">
      <w:pPr>
        <w:tabs>
          <w:tab w:val="left" w:pos="2655"/>
        </w:tabs>
        <w:spacing w:line="360" w:lineRule="auto"/>
        <w:rPr>
          <w:rFonts w:ascii="Verdana" w:hAnsi="Verdana"/>
          <w:sz w:val="20"/>
          <w:szCs w:val="20"/>
        </w:rPr>
      </w:pPr>
    </w:p>
    <w:p w14:paraId="2FE6FAAF" w14:textId="44ED380E" w:rsidR="00067E8A" w:rsidRPr="00067E8A" w:rsidRDefault="008969B8" w:rsidP="00067E8A">
      <w:pPr>
        <w:spacing w:line="360" w:lineRule="auto"/>
        <w:jc w:val="both"/>
        <w:rPr>
          <w:rFonts w:ascii="Verdana" w:hAnsi="Verdana" w:cs="Arial"/>
          <w:sz w:val="20"/>
          <w:szCs w:val="20"/>
          <w:lang w:val="es-CO"/>
        </w:rPr>
      </w:pPr>
      <w:r>
        <w:rPr>
          <w:rFonts w:ascii="Verdana" w:hAnsi="Verdana" w:cs="Arial"/>
          <w:i/>
          <w:sz w:val="20"/>
          <w:szCs w:val="20"/>
          <w:lang w:val="es-CO"/>
        </w:rPr>
        <w:t>Juan Carlos Sánchez Delgado</w:t>
      </w:r>
      <w:r w:rsidRPr="002A654B">
        <w:rPr>
          <w:rFonts w:ascii="Verdana" w:hAnsi="Verdana" w:cs="Arial"/>
          <w:i/>
          <w:sz w:val="20"/>
          <w:szCs w:val="20"/>
          <w:lang w:val="es-CO"/>
        </w:rPr>
        <w:t>.</w:t>
      </w:r>
      <w:r w:rsidR="00067E8A" w:rsidRPr="00067E8A">
        <w:rPr>
          <w:rFonts w:ascii="Verdana" w:hAnsi="Verdana" w:cs="Arial"/>
          <w:sz w:val="20"/>
          <w:szCs w:val="20"/>
          <w:lang w:val="es-CO"/>
        </w:rPr>
        <w:t xml:space="preserve"> </w:t>
      </w:r>
      <w:r w:rsidR="00067E8A" w:rsidRPr="007223C1">
        <w:rPr>
          <w:rFonts w:ascii="Verdana" w:hAnsi="Verdana"/>
          <w:sz w:val="20"/>
          <w:szCs w:val="20"/>
          <w:lang w:val="es-CO"/>
        </w:rPr>
        <w:t>Universidad Santo Tomas</w:t>
      </w:r>
      <w:r w:rsidR="00067E8A">
        <w:rPr>
          <w:rFonts w:ascii="Verdana" w:hAnsi="Verdana"/>
          <w:sz w:val="20"/>
          <w:szCs w:val="20"/>
          <w:lang w:val="es-CO"/>
        </w:rPr>
        <w:t xml:space="preserve">. </w:t>
      </w:r>
      <w:r w:rsidR="00067E8A" w:rsidRPr="007223C1">
        <w:rPr>
          <w:rFonts w:ascii="Verdana" w:hAnsi="Verdana"/>
          <w:sz w:val="20"/>
          <w:szCs w:val="20"/>
          <w:lang w:val="es-CO"/>
        </w:rPr>
        <w:t>Bucaramanga</w:t>
      </w:r>
      <w:r w:rsidR="00067E8A">
        <w:rPr>
          <w:rFonts w:ascii="Verdana" w:hAnsi="Verdana"/>
          <w:sz w:val="20"/>
          <w:szCs w:val="20"/>
          <w:lang w:val="es-CO"/>
        </w:rPr>
        <w:t xml:space="preserve">, </w:t>
      </w:r>
      <w:r w:rsidR="00067E8A" w:rsidRPr="007223C1">
        <w:rPr>
          <w:rFonts w:ascii="Verdana" w:hAnsi="Verdana"/>
          <w:sz w:val="20"/>
          <w:szCs w:val="20"/>
          <w:lang w:val="es-CO"/>
        </w:rPr>
        <w:t>Colombia.</w:t>
      </w:r>
    </w:p>
    <w:p w14:paraId="240C55D8" w14:textId="209478C0" w:rsidR="00067E8A" w:rsidRPr="00067E8A" w:rsidRDefault="00067E8A" w:rsidP="00067E8A">
      <w:pPr>
        <w:spacing w:line="360" w:lineRule="auto"/>
        <w:jc w:val="both"/>
        <w:rPr>
          <w:rFonts w:ascii="Verdana" w:hAnsi="Verdana" w:cs="Arial"/>
          <w:sz w:val="20"/>
          <w:szCs w:val="20"/>
          <w:lang w:val="es-CO"/>
        </w:rPr>
      </w:pPr>
      <w:r w:rsidRPr="00067E8A">
        <w:rPr>
          <w:rFonts w:ascii="Verdana" w:hAnsi="Verdana" w:cs="Arial"/>
          <w:sz w:val="20"/>
          <w:szCs w:val="20"/>
          <w:lang w:val="es-CO"/>
        </w:rPr>
        <w:t xml:space="preserve">Correo electrónico: </w:t>
      </w:r>
      <w:hyperlink r:id="rId11" w:history="1">
        <w:r w:rsidR="008969B8" w:rsidRPr="003D1342">
          <w:rPr>
            <w:rStyle w:val="Hipervnculo"/>
            <w:rFonts w:ascii="Verdana" w:hAnsi="Verdana" w:cs="Arial"/>
            <w:sz w:val="20"/>
            <w:szCs w:val="20"/>
            <w:lang w:val="es-CO"/>
          </w:rPr>
          <w:t>juancarlossanchezd@gmail.com</w:t>
        </w:r>
      </w:hyperlink>
    </w:p>
    <w:sectPr w:rsidR="00067E8A" w:rsidRPr="00067E8A">
      <w:pgSz w:w="12240" w:h="15840"/>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A23601"/>
    <w:multiLevelType w:val="multilevel"/>
    <w:tmpl w:val="65A23601"/>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38"/>
    <w:rsid w:val="00000AF1"/>
    <w:rsid w:val="00005A2C"/>
    <w:rsid w:val="00011243"/>
    <w:rsid w:val="000118B9"/>
    <w:rsid w:val="00013299"/>
    <w:rsid w:val="000138D3"/>
    <w:rsid w:val="0001627A"/>
    <w:rsid w:val="000209B9"/>
    <w:rsid w:val="00020E6E"/>
    <w:rsid w:val="000253AA"/>
    <w:rsid w:val="00025515"/>
    <w:rsid w:val="00026E9B"/>
    <w:rsid w:val="000309CA"/>
    <w:rsid w:val="00031A79"/>
    <w:rsid w:val="00041358"/>
    <w:rsid w:val="00046448"/>
    <w:rsid w:val="00067E8A"/>
    <w:rsid w:val="00070C4A"/>
    <w:rsid w:val="00076BDF"/>
    <w:rsid w:val="00077744"/>
    <w:rsid w:val="000847A3"/>
    <w:rsid w:val="00087145"/>
    <w:rsid w:val="00094CB5"/>
    <w:rsid w:val="00095577"/>
    <w:rsid w:val="00097EA4"/>
    <w:rsid w:val="000A178C"/>
    <w:rsid w:val="000B3189"/>
    <w:rsid w:val="000C466D"/>
    <w:rsid w:val="000C58D8"/>
    <w:rsid w:val="000D00BF"/>
    <w:rsid w:val="000D16D7"/>
    <w:rsid w:val="000D2A1E"/>
    <w:rsid w:val="000D49EE"/>
    <w:rsid w:val="000E2E40"/>
    <w:rsid w:val="000E39CF"/>
    <w:rsid w:val="000E594B"/>
    <w:rsid w:val="000E68A5"/>
    <w:rsid w:val="000E6F5F"/>
    <w:rsid w:val="000F2488"/>
    <w:rsid w:val="000F4E47"/>
    <w:rsid w:val="00104808"/>
    <w:rsid w:val="00106C7D"/>
    <w:rsid w:val="00110D8E"/>
    <w:rsid w:val="00117CE1"/>
    <w:rsid w:val="00121A30"/>
    <w:rsid w:val="00125375"/>
    <w:rsid w:val="00127EEB"/>
    <w:rsid w:val="00133EAA"/>
    <w:rsid w:val="00136861"/>
    <w:rsid w:val="00136DD4"/>
    <w:rsid w:val="00141903"/>
    <w:rsid w:val="001469CD"/>
    <w:rsid w:val="001576E4"/>
    <w:rsid w:val="00157806"/>
    <w:rsid w:val="0016657B"/>
    <w:rsid w:val="001813A1"/>
    <w:rsid w:val="00183B6A"/>
    <w:rsid w:val="0019253E"/>
    <w:rsid w:val="001A4C7B"/>
    <w:rsid w:val="001A6FD7"/>
    <w:rsid w:val="001B3B03"/>
    <w:rsid w:val="001B3F9E"/>
    <w:rsid w:val="001B5E0B"/>
    <w:rsid w:val="001B7E1C"/>
    <w:rsid w:val="001C053E"/>
    <w:rsid w:val="001D4339"/>
    <w:rsid w:val="001E6800"/>
    <w:rsid w:val="00200E0B"/>
    <w:rsid w:val="00212437"/>
    <w:rsid w:val="00214D08"/>
    <w:rsid w:val="00214F3F"/>
    <w:rsid w:val="00215E75"/>
    <w:rsid w:val="00216281"/>
    <w:rsid w:val="0021642E"/>
    <w:rsid w:val="00217519"/>
    <w:rsid w:val="00220BE2"/>
    <w:rsid w:val="002212B0"/>
    <w:rsid w:val="0022477D"/>
    <w:rsid w:val="00224C89"/>
    <w:rsid w:val="0023461D"/>
    <w:rsid w:val="002367D9"/>
    <w:rsid w:val="00236AAD"/>
    <w:rsid w:val="00236AE2"/>
    <w:rsid w:val="00242DBA"/>
    <w:rsid w:val="00253644"/>
    <w:rsid w:val="002536E7"/>
    <w:rsid w:val="0026151F"/>
    <w:rsid w:val="0026245A"/>
    <w:rsid w:val="00263568"/>
    <w:rsid w:val="002735FC"/>
    <w:rsid w:val="002814DF"/>
    <w:rsid w:val="00282842"/>
    <w:rsid w:val="002849E2"/>
    <w:rsid w:val="0029676D"/>
    <w:rsid w:val="00296BD0"/>
    <w:rsid w:val="002A4414"/>
    <w:rsid w:val="002A51DF"/>
    <w:rsid w:val="002A562F"/>
    <w:rsid w:val="002A654B"/>
    <w:rsid w:val="002B11E1"/>
    <w:rsid w:val="002B6620"/>
    <w:rsid w:val="002C0E7A"/>
    <w:rsid w:val="002C1EF3"/>
    <w:rsid w:val="002C4640"/>
    <w:rsid w:val="002C653D"/>
    <w:rsid w:val="002D22B5"/>
    <w:rsid w:val="002D41B8"/>
    <w:rsid w:val="002D47FC"/>
    <w:rsid w:val="002E0E05"/>
    <w:rsid w:val="002E65B9"/>
    <w:rsid w:val="002E669A"/>
    <w:rsid w:val="002E7A4C"/>
    <w:rsid w:val="002F041B"/>
    <w:rsid w:val="002F3878"/>
    <w:rsid w:val="002F7485"/>
    <w:rsid w:val="00300ABA"/>
    <w:rsid w:val="0030208E"/>
    <w:rsid w:val="00304298"/>
    <w:rsid w:val="00304FCE"/>
    <w:rsid w:val="00315DD1"/>
    <w:rsid w:val="003223C2"/>
    <w:rsid w:val="0033767B"/>
    <w:rsid w:val="00342880"/>
    <w:rsid w:val="0034643B"/>
    <w:rsid w:val="003466D9"/>
    <w:rsid w:val="003526AC"/>
    <w:rsid w:val="003540E2"/>
    <w:rsid w:val="00355649"/>
    <w:rsid w:val="00361B7F"/>
    <w:rsid w:val="003628C3"/>
    <w:rsid w:val="0036458F"/>
    <w:rsid w:val="003656A8"/>
    <w:rsid w:val="00377B17"/>
    <w:rsid w:val="00380FBE"/>
    <w:rsid w:val="0038179C"/>
    <w:rsid w:val="0039281F"/>
    <w:rsid w:val="003A6D65"/>
    <w:rsid w:val="003B275C"/>
    <w:rsid w:val="003B6A41"/>
    <w:rsid w:val="003C12B4"/>
    <w:rsid w:val="003C1860"/>
    <w:rsid w:val="003C287D"/>
    <w:rsid w:val="003D7D8C"/>
    <w:rsid w:val="003E2386"/>
    <w:rsid w:val="003E57B1"/>
    <w:rsid w:val="003F069F"/>
    <w:rsid w:val="003F2150"/>
    <w:rsid w:val="003F6793"/>
    <w:rsid w:val="003F6C89"/>
    <w:rsid w:val="003F6D81"/>
    <w:rsid w:val="00400EBB"/>
    <w:rsid w:val="00403528"/>
    <w:rsid w:val="00404049"/>
    <w:rsid w:val="0040450A"/>
    <w:rsid w:val="00410F0F"/>
    <w:rsid w:val="004211D0"/>
    <w:rsid w:val="00421B89"/>
    <w:rsid w:val="00426708"/>
    <w:rsid w:val="004346C3"/>
    <w:rsid w:val="00436316"/>
    <w:rsid w:val="00437C2C"/>
    <w:rsid w:val="00440465"/>
    <w:rsid w:val="004434E1"/>
    <w:rsid w:val="004465C4"/>
    <w:rsid w:val="004516DE"/>
    <w:rsid w:val="00457B15"/>
    <w:rsid w:val="00464283"/>
    <w:rsid w:val="00465E0B"/>
    <w:rsid w:val="00471820"/>
    <w:rsid w:val="0047753D"/>
    <w:rsid w:val="00480B45"/>
    <w:rsid w:val="00481FCB"/>
    <w:rsid w:val="00482125"/>
    <w:rsid w:val="00484A2B"/>
    <w:rsid w:val="00484B5C"/>
    <w:rsid w:val="0048515D"/>
    <w:rsid w:val="004A6ECF"/>
    <w:rsid w:val="004B0E94"/>
    <w:rsid w:val="004B5CEF"/>
    <w:rsid w:val="004D12A0"/>
    <w:rsid w:val="004D2B2C"/>
    <w:rsid w:val="004D3AAC"/>
    <w:rsid w:val="004E2178"/>
    <w:rsid w:val="004E3FC7"/>
    <w:rsid w:val="004E458F"/>
    <w:rsid w:val="00500ABF"/>
    <w:rsid w:val="005012EA"/>
    <w:rsid w:val="00504AFB"/>
    <w:rsid w:val="005169C8"/>
    <w:rsid w:val="0052369A"/>
    <w:rsid w:val="0052509C"/>
    <w:rsid w:val="005301F9"/>
    <w:rsid w:val="00541504"/>
    <w:rsid w:val="00550AAE"/>
    <w:rsid w:val="005537E9"/>
    <w:rsid w:val="00554D21"/>
    <w:rsid w:val="00556E51"/>
    <w:rsid w:val="0057401D"/>
    <w:rsid w:val="00575A03"/>
    <w:rsid w:val="0058549F"/>
    <w:rsid w:val="00590B36"/>
    <w:rsid w:val="00595D7F"/>
    <w:rsid w:val="00596E4D"/>
    <w:rsid w:val="00596FCA"/>
    <w:rsid w:val="00597D65"/>
    <w:rsid w:val="005A1C5D"/>
    <w:rsid w:val="005A2D3B"/>
    <w:rsid w:val="005A5621"/>
    <w:rsid w:val="005B549F"/>
    <w:rsid w:val="005C4AB0"/>
    <w:rsid w:val="005C58B7"/>
    <w:rsid w:val="005E2989"/>
    <w:rsid w:val="005E3063"/>
    <w:rsid w:val="005F4605"/>
    <w:rsid w:val="005F7660"/>
    <w:rsid w:val="00603200"/>
    <w:rsid w:val="00603D82"/>
    <w:rsid w:val="0060672C"/>
    <w:rsid w:val="00614183"/>
    <w:rsid w:val="006154DF"/>
    <w:rsid w:val="00617907"/>
    <w:rsid w:val="00621179"/>
    <w:rsid w:val="00624FB3"/>
    <w:rsid w:val="00626542"/>
    <w:rsid w:val="00627FCD"/>
    <w:rsid w:val="0063268D"/>
    <w:rsid w:val="00636EB2"/>
    <w:rsid w:val="00643E70"/>
    <w:rsid w:val="006511E8"/>
    <w:rsid w:val="006531C1"/>
    <w:rsid w:val="00654B71"/>
    <w:rsid w:val="00655FA2"/>
    <w:rsid w:val="00664E5D"/>
    <w:rsid w:val="00665333"/>
    <w:rsid w:val="006657A2"/>
    <w:rsid w:val="00666E01"/>
    <w:rsid w:val="00670960"/>
    <w:rsid w:val="00675D54"/>
    <w:rsid w:val="00683997"/>
    <w:rsid w:val="0068499A"/>
    <w:rsid w:val="00684B9C"/>
    <w:rsid w:val="0068640C"/>
    <w:rsid w:val="006A18CC"/>
    <w:rsid w:val="006A6B7E"/>
    <w:rsid w:val="006B235D"/>
    <w:rsid w:val="006D1013"/>
    <w:rsid w:val="006D2868"/>
    <w:rsid w:val="006E1043"/>
    <w:rsid w:val="006E3395"/>
    <w:rsid w:val="006E48A5"/>
    <w:rsid w:val="006F1843"/>
    <w:rsid w:val="006F2F13"/>
    <w:rsid w:val="006F4779"/>
    <w:rsid w:val="00701F12"/>
    <w:rsid w:val="00706C2C"/>
    <w:rsid w:val="007223C1"/>
    <w:rsid w:val="0072295A"/>
    <w:rsid w:val="00727B45"/>
    <w:rsid w:val="00731531"/>
    <w:rsid w:val="0073515A"/>
    <w:rsid w:val="00746A85"/>
    <w:rsid w:val="00746AA5"/>
    <w:rsid w:val="00765CBA"/>
    <w:rsid w:val="00767E2E"/>
    <w:rsid w:val="007709CF"/>
    <w:rsid w:val="00775856"/>
    <w:rsid w:val="0078370C"/>
    <w:rsid w:val="00784A90"/>
    <w:rsid w:val="00795D01"/>
    <w:rsid w:val="007A59A0"/>
    <w:rsid w:val="007A5B04"/>
    <w:rsid w:val="007B3C31"/>
    <w:rsid w:val="007C14CB"/>
    <w:rsid w:val="007C56CC"/>
    <w:rsid w:val="007C5B4B"/>
    <w:rsid w:val="007D79C5"/>
    <w:rsid w:val="007E0093"/>
    <w:rsid w:val="007E6E55"/>
    <w:rsid w:val="008026BB"/>
    <w:rsid w:val="00803DC7"/>
    <w:rsid w:val="00810578"/>
    <w:rsid w:val="00821626"/>
    <w:rsid w:val="0083456C"/>
    <w:rsid w:val="00844C5A"/>
    <w:rsid w:val="00847513"/>
    <w:rsid w:val="00853298"/>
    <w:rsid w:val="008600AF"/>
    <w:rsid w:val="008722EB"/>
    <w:rsid w:val="00873BF0"/>
    <w:rsid w:val="008744D8"/>
    <w:rsid w:val="0087684A"/>
    <w:rsid w:val="00880881"/>
    <w:rsid w:val="00880FA2"/>
    <w:rsid w:val="008819B2"/>
    <w:rsid w:val="00887444"/>
    <w:rsid w:val="008900A2"/>
    <w:rsid w:val="00896675"/>
    <w:rsid w:val="008969B8"/>
    <w:rsid w:val="008B430A"/>
    <w:rsid w:val="008B576C"/>
    <w:rsid w:val="008C0747"/>
    <w:rsid w:val="008C0C7C"/>
    <w:rsid w:val="008C1A3C"/>
    <w:rsid w:val="008C1DB9"/>
    <w:rsid w:val="008C49BA"/>
    <w:rsid w:val="008D5115"/>
    <w:rsid w:val="008D65A6"/>
    <w:rsid w:val="008D7D2B"/>
    <w:rsid w:val="008E375F"/>
    <w:rsid w:val="008F4485"/>
    <w:rsid w:val="008F4F42"/>
    <w:rsid w:val="008F7F24"/>
    <w:rsid w:val="0090072B"/>
    <w:rsid w:val="00905052"/>
    <w:rsid w:val="00905DEC"/>
    <w:rsid w:val="00905F6C"/>
    <w:rsid w:val="0090657E"/>
    <w:rsid w:val="00910376"/>
    <w:rsid w:val="00912676"/>
    <w:rsid w:val="00917148"/>
    <w:rsid w:val="00921FD8"/>
    <w:rsid w:val="009226B4"/>
    <w:rsid w:val="00930301"/>
    <w:rsid w:val="00936013"/>
    <w:rsid w:val="00937201"/>
    <w:rsid w:val="009374DA"/>
    <w:rsid w:val="0094012E"/>
    <w:rsid w:val="009440DA"/>
    <w:rsid w:val="00954055"/>
    <w:rsid w:val="00957115"/>
    <w:rsid w:val="00962316"/>
    <w:rsid w:val="00964A98"/>
    <w:rsid w:val="00970F5C"/>
    <w:rsid w:val="00972D88"/>
    <w:rsid w:val="0097447C"/>
    <w:rsid w:val="00976F09"/>
    <w:rsid w:val="00977E2A"/>
    <w:rsid w:val="009874C3"/>
    <w:rsid w:val="0099138B"/>
    <w:rsid w:val="00995555"/>
    <w:rsid w:val="009975A7"/>
    <w:rsid w:val="009A5344"/>
    <w:rsid w:val="009C362D"/>
    <w:rsid w:val="009C618D"/>
    <w:rsid w:val="009C762A"/>
    <w:rsid w:val="009D110E"/>
    <w:rsid w:val="009D5B96"/>
    <w:rsid w:val="009D6F16"/>
    <w:rsid w:val="009D7201"/>
    <w:rsid w:val="009D7FC9"/>
    <w:rsid w:val="009E213C"/>
    <w:rsid w:val="009E5B68"/>
    <w:rsid w:val="009F4478"/>
    <w:rsid w:val="009F4D0E"/>
    <w:rsid w:val="00A009F1"/>
    <w:rsid w:val="00A00D0C"/>
    <w:rsid w:val="00A0148B"/>
    <w:rsid w:val="00A015B9"/>
    <w:rsid w:val="00A042A0"/>
    <w:rsid w:val="00A04EF8"/>
    <w:rsid w:val="00A1007E"/>
    <w:rsid w:val="00A1115A"/>
    <w:rsid w:val="00A146D7"/>
    <w:rsid w:val="00A14C9E"/>
    <w:rsid w:val="00A16034"/>
    <w:rsid w:val="00A17B88"/>
    <w:rsid w:val="00A24414"/>
    <w:rsid w:val="00A25005"/>
    <w:rsid w:val="00A25956"/>
    <w:rsid w:val="00A50925"/>
    <w:rsid w:val="00A535B3"/>
    <w:rsid w:val="00A605F7"/>
    <w:rsid w:val="00A62F7C"/>
    <w:rsid w:val="00A64C7C"/>
    <w:rsid w:val="00A71D77"/>
    <w:rsid w:val="00A730ED"/>
    <w:rsid w:val="00A77A16"/>
    <w:rsid w:val="00A83E2E"/>
    <w:rsid w:val="00A93144"/>
    <w:rsid w:val="00A964B7"/>
    <w:rsid w:val="00AA762E"/>
    <w:rsid w:val="00AB2E20"/>
    <w:rsid w:val="00AC319C"/>
    <w:rsid w:val="00AC7E6F"/>
    <w:rsid w:val="00AE34BA"/>
    <w:rsid w:val="00AE4935"/>
    <w:rsid w:val="00AE61FE"/>
    <w:rsid w:val="00AF7F83"/>
    <w:rsid w:val="00B07584"/>
    <w:rsid w:val="00B10ECB"/>
    <w:rsid w:val="00B112C6"/>
    <w:rsid w:val="00B16729"/>
    <w:rsid w:val="00B176D8"/>
    <w:rsid w:val="00B22FAC"/>
    <w:rsid w:val="00B23F1A"/>
    <w:rsid w:val="00B23F2B"/>
    <w:rsid w:val="00B25CB4"/>
    <w:rsid w:val="00B31BDC"/>
    <w:rsid w:val="00B31F68"/>
    <w:rsid w:val="00B37638"/>
    <w:rsid w:val="00B43A2E"/>
    <w:rsid w:val="00B43B05"/>
    <w:rsid w:val="00B50B54"/>
    <w:rsid w:val="00B57E75"/>
    <w:rsid w:val="00B61AF5"/>
    <w:rsid w:val="00B76A69"/>
    <w:rsid w:val="00B834DF"/>
    <w:rsid w:val="00B8401E"/>
    <w:rsid w:val="00B939B1"/>
    <w:rsid w:val="00B971A0"/>
    <w:rsid w:val="00BA4F24"/>
    <w:rsid w:val="00BA6250"/>
    <w:rsid w:val="00BB0990"/>
    <w:rsid w:val="00BB0BB7"/>
    <w:rsid w:val="00BB17B8"/>
    <w:rsid w:val="00BB2C7C"/>
    <w:rsid w:val="00BB374F"/>
    <w:rsid w:val="00BB691D"/>
    <w:rsid w:val="00BC7BE4"/>
    <w:rsid w:val="00BD3DD3"/>
    <w:rsid w:val="00BD450C"/>
    <w:rsid w:val="00BD5F57"/>
    <w:rsid w:val="00BE0765"/>
    <w:rsid w:val="00BE0D0E"/>
    <w:rsid w:val="00BE35D5"/>
    <w:rsid w:val="00BF0253"/>
    <w:rsid w:val="00BF0E78"/>
    <w:rsid w:val="00BF5B89"/>
    <w:rsid w:val="00BF7EFE"/>
    <w:rsid w:val="00C03DEA"/>
    <w:rsid w:val="00C04699"/>
    <w:rsid w:val="00C17E5F"/>
    <w:rsid w:val="00C20783"/>
    <w:rsid w:val="00C20978"/>
    <w:rsid w:val="00C2252D"/>
    <w:rsid w:val="00C3171F"/>
    <w:rsid w:val="00C3264E"/>
    <w:rsid w:val="00C37EED"/>
    <w:rsid w:val="00C40DD8"/>
    <w:rsid w:val="00C43DB3"/>
    <w:rsid w:val="00C5032A"/>
    <w:rsid w:val="00C54789"/>
    <w:rsid w:val="00C56BF1"/>
    <w:rsid w:val="00C667FF"/>
    <w:rsid w:val="00C71885"/>
    <w:rsid w:val="00C7682B"/>
    <w:rsid w:val="00C77DF1"/>
    <w:rsid w:val="00C818DB"/>
    <w:rsid w:val="00C83939"/>
    <w:rsid w:val="00CA2038"/>
    <w:rsid w:val="00CA4958"/>
    <w:rsid w:val="00CA58F6"/>
    <w:rsid w:val="00CA7200"/>
    <w:rsid w:val="00CB3E22"/>
    <w:rsid w:val="00CB4062"/>
    <w:rsid w:val="00CB574B"/>
    <w:rsid w:val="00CB6666"/>
    <w:rsid w:val="00CC23B4"/>
    <w:rsid w:val="00CC3576"/>
    <w:rsid w:val="00CC7329"/>
    <w:rsid w:val="00CE4705"/>
    <w:rsid w:val="00CE6D3C"/>
    <w:rsid w:val="00CE7206"/>
    <w:rsid w:val="00CE736F"/>
    <w:rsid w:val="00CF2045"/>
    <w:rsid w:val="00CF4A6A"/>
    <w:rsid w:val="00CF6E05"/>
    <w:rsid w:val="00D02B73"/>
    <w:rsid w:val="00D03CBA"/>
    <w:rsid w:val="00D12D4F"/>
    <w:rsid w:val="00D17A8E"/>
    <w:rsid w:val="00D20CC7"/>
    <w:rsid w:val="00D273C7"/>
    <w:rsid w:val="00D31B9A"/>
    <w:rsid w:val="00D31E0A"/>
    <w:rsid w:val="00D324C3"/>
    <w:rsid w:val="00D3524E"/>
    <w:rsid w:val="00D35DC7"/>
    <w:rsid w:val="00D44E1D"/>
    <w:rsid w:val="00D46BCC"/>
    <w:rsid w:val="00D4737E"/>
    <w:rsid w:val="00D5578F"/>
    <w:rsid w:val="00D5740F"/>
    <w:rsid w:val="00D6123F"/>
    <w:rsid w:val="00D630DE"/>
    <w:rsid w:val="00D636F1"/>
    <w:rsid w:val="00D67D60"/>
    <w:rsid w:val="00D74688"/>
    <w:rsid w:val="00D753AE"/>
    <w:rsid w:val="00D826B9"/>
    <w:rsid w:val="00D83839"/>
    <w:rsid w:val="00D86775"/>
    <w:rsid w:val="00D90CFF"/>
    <w:rsid w:val="00D934CA"/>
    <w:rsid w:val="00D979BC"/>
    <w:rsid w:val="00DA0037"/>
    <w:rsid w:val="00DA5086"/>
    <w:rsid w:val="00DB1347"/>
    <w:rsid w:val="00DB2BCC"/>
    <w:rsid w:val="00DB4E9A"/>
    <w:rsid w:val="00DB6A31"/>
    <w:rsid w:val="00DC5C87"/>
    <w:rsid w:val="00DD1926"/>
    <w:rsid w:val="00DD4526"/>
    <w:rsid w:val="00DD6801"/>
    <w:rsid w:val="00DE07CE"/>
    <w:rsid w:val="00DE25AF"/>
    <w:rsid w:val="00DF16D7"/>
    <w:rsid w:val="00DF20C2"/>
    <w:rsid w:val="00DF3AA1"/>
    <w:rsid w:val="00E012CE"/>
    <w:rsid w:val="00E034E6"/>
    <w:rsid w:val="00E06768"/>
    <w:rsid w:val="00E1067C"/>
    <w:rsid w:val="00E10B09"/>
    <w:rsid w:val="00E11488"/>
    <w:rsid w:val="00E134FE"/>
    <w:rsid w:val="00E13C47"/>
    <w:rsid w:val="00E144C5"/>
    <w:rsid w:val="00E22B47"/>
    <w:rsid w:val="00E308C9"/>
    <w:rsid w:val="00E30BE7"/>
    <w:rsid w:val="00E32C65"/>
    <w:rsid w:val="00E35DEB"/>
    <w:rsid w:val="00E375DF"/>
    <w:rsid w:val="00E37A4D"/>
    <w:rsid w:val="00E4373E"/>
    <w:rsid w:val="00E47772"/>
    <w:rsid w:val="00E500A2"/>
    <w:rsid w:val="00E50BAB"/>
    <w:rsid w:val="00E53D7C"/>
    <w:rsid w:val="00E5658B"/>
    <w:rsid w:val="00E614B1"/>
    <w:rsid w:val="00E64AE7"/>
    <w:rsid w:val="00E66C83"/>
    <w:rsid w:val="00E739FB"/>
    <w:rsid w:val="00E73C13"/>
    <w:rsid w:val="00E84C2D"/>
    <w:rsid w:val="00E85EDB"/>
    <w:rsid w:val="00E90897"/>
    <w:rsid w:val="00E95BAE"/>
    <w:rsid w:val="00EA05DC"/>
    <w:rsid w:val="00EA0A61"/>
    <w:rsid w:val="00EC174A"/>
    <w:rsid w:val="00EC5051"/>
    <w:rsid w:val="00EC5F4B"/>
    <w:rsid w:val="00ED53D5"/>
    <w:rsid w:val="00EE0F56"/>
    <w:rsid w:val="00EE6C77"/>
    <w:rsid w:val="00EF262A"/>
    <w:rsid w:val="00EF7F2A"/>
    <w:rsid w:val="00F05C7B"/>
    <w:rsid w:val="00F108F5"/>
    <w:rsid w:val="00F1636E"/>
    <w:rsid w:val="00F1786B"/>
    <w:rsid w:val="00F20151"/>
    <w:rsid w:val="00F229F7"/>
    <w:rsid w:val="00F23000"/>
    <w:rsid w:val="00F23FE5"/>
    <w:rsid w:val="00F245CB"/>
    <w:rsid w:val="00F25D55"/>
    <w:rsid w:val="00F26A73"/>
    <w:rsid w:val="00F30D0B"/>
    <w:rsid w:val="00F31A3D"/>
    <w:rsid w:val="00F33806"/>
    <w:rsid w:val="00F3706C"/>
    <w:rsid w:val="00F37727"/>
    <w:rsid w:val="00F4129F"/>
    <w:rsid w:val="00F42704"/>
    <w:rsid w:val="00F429F3"/>
    <w:rsid w:val="00F42BA2"/>
    <w:rsid w:val="00F442C2"/>
    <w:rsid w:val="00F45A15"/>
    <w:rsid w:val="00F6337A"/>
    <w:rsid w:val="00F6717C"/>
    <w:rsid w:val="00F713C8"/>
    <w:rsid w:val="00F71C63"/>
    <w:rsid w:val="00F83667"/>
    <w:rsid w:val="00F93015"/>
    <w:rsid w:val="00F97D0A"/>
    <w:rsid w:val="00FA1B5A"/>
    <w:rsid w:val="00FA28B1"/>
    <w:rsid w:val="00FA5778"/>
    <w:rsid w:val="00FA682D"/>
    <w:rsid w:val="00FB7777"/>
    <w:rsid w:val="00FC0F8E"/>
    <w:rsid w:val="00FC257B"/>
    <w:rsid w:val="00FC67D5"/>
    <w:rsid w:val="00FD3532"/>
    <w:rsid w:val="00FD49D9"/>
    <w:rsid w:val="00FD5A44"/>
    <w:rsid w:val="00FD7E24"/>
    <w:rsid w:val="00FE13A8"/>
    <w:rsid w:val="00FE4D62"/>
    <w:rsid w:val="00FF1348"/>
    <w:rsid w:val="00FF13BA"/>
    <w:rsid w:val="00FF5611"/>
    <w:rsid w:val="00FF5B59"/>
    <w:rsid w:val="1C890C97"/>
    <w:rsid w:val="1F7F2A07"/>
    <w:rsid w:val="24BA31BC"/>
    <w:rsid w:val="2CA27AC0"/>
    <w:rsid w:val="3517562B"/>
    <w:rsid w:val="4701694A"/>
    <w:rsid w:val="4735775C"/>
    <w:rsid w:val="518D320D"/>
    <w:rsid w:val="67DF4801"/>
    <w:rsid w:val="6CD66F91"/>
    <w:rsid w:val="701831FA"/>
    <w:rsid w:val="727341C9"/>
    <w:rsid w:val="7A150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ADA6"/>
  <w15:docId w15:val="{A3FFE855-A74F-47B2-BC11-4A395EFB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pacing w:after="0" w:line="240" w:lineRule="auto"/>
    </w:pPr>
    <w:rPr>
      <w:rFonts w:ascii="Times New Roman" w:eastAsia="Times New Roman" w:hAnsi="Times New Roman" w:cs="Times New Roman"/>
      <w:color w:val="000000"/>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Pr>
      <w:sz w:val="20"/>
      <w:szCs w:val="20"/>
    </w:rPr>
  </w:style>
  <w:style w:type="paragraph" w:styleId="Textonotaalfinal">
    <w:name w:val="endnote text"/>
    <w:basedOn w:val="Normal"/>
    <w:link w:val="TextonotaalfinalCar"/>
    <w:uiPriority w:val="99"/>
    <w:semiHidden/>
    <w:unhideWhenUsed/>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paragraph" w:styleId="Textocomentario">
    <w:name w:val="annotation text"/>
    <w:basedOn w:val="Normal"/>
    <w:link w:val="TextocomentarioCar"/>
    <w:uiPriority w:val="99"/>
    <w:semiHidden/>
    <w:unhideWhenUsed/>
    <w:rPr>
      <w:sz w:val="20"/>
      <w:szCs w:val="20"/>
    </w:rPr>
  </w:style>
  <w:style w:type="paragraph" w:styleId="Textodeglobo">
    <w:name w:val="Balloon Text"/>
    <w:basedOn w:val="Normal"/>
    <w:link w:val="TextodegloboCar"/>
    <w:uiPriority w:val="99"/>
    <w:semiHidden/>
    <w:unhideWhenUsed/>
    <w:rPr>
      <w:rFonts w:ascii="Segoe UI" w:hAnsi="Segoe UI" w:cs="Segoe UI"/>
      <w:sz w:val="18"/>
      <w:szCs w:val="18"/>
    </w:rPr>
  </w:style>
  <w:style w:type="paragraph" w:styleId="Encabezado">
    <w:name w:val="header"/>
    <w:basedOn w:val="Normal"/>
    <w:link w:val="EncabezadoCar"/>
    <w:uiPriority w:val="99"/>
    <w:unhideWhenUsed/>
    <w:pPr>
      <w:tabs>
        <w:tab w:val="center" w:pos="4419"/>
        <w:tab w:val="right" w:pos="8838"/>
      </w:tabs>
    </w:pPr>
  </w:style>
  <w:style w:type="paragraph" w:styleId="NormalWeb">
    <w:name w:val="Normal (Web)"/>
    <w:basedOn w:val="Normal"/>
    <w:uiPriority w:val="99"/>
    <w:semiHidden/>
    <w:unhideWhenUsed/>
    <w:pPr>
      <w:widowControl/>
      <w:spacing w:before="100" w:beforeAutospacing="1" w:after="100" w:afterAutospacing="1"/>
    </w:pPr>
    <w:rPr>
      <w:color w:val="auto"/>
    </w:rPr>
  </w:style>
  <w:style w:type="paragraph" w:styleId="Piedepgina">
    <w:name w:val="footer"/>
    <w:basedOn w:val="Normal"/>
    <w:link w:val="PiedepginaCar"/>
    <w:uiPriority w:val="99"/>
    <w:unhideWhenUsed/>
    <w:pPr>
      <w:tabs>
        <w:tab w:val="center" w:pos="4419"/>
        <w:tab w:val="right" w:pos="8838"/>
      </w:tabs>
    </w:pPr>
  </w:style>
  <w:style w:type="character" w:styleId="Refdenotaalfinal">
    <w:name w:val="endnote reference"/>
    <w:basedOn w:val="Fuentedeprrafopredeter"/>
    <w:uiPriority w:val="99"/>
    <w:semiHidden/>
    <w:unhideWhenUsed/>
    <w:rPr>
      <w:vertAlign w:val="superscript"/>
    </w:rPr>
  </w:style>
  <w:style w:type="character" w:styleId="Refdecomentario">
    <w:name w:val="annotation reference"/>
    <w:basedOn w:val="Fuentedeprrafopredeter"/>
    <w:uiPriority w:val="99"/>
    <w:semiHidden/>
    <w:unhideWhenUsed/>
    <w:rPr>
      <w:sz w:val="16"/>
      <w:szCs w:val="16"/>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563C1" w:themeColor="hyperlink"/>
      <w:u w:val="single"/>
    </w:rPr>
  </w:style>
  <w:style w:type="character" w:customStyle="1" w:styleId="TextonotapieCar">
    <w:name w:val="Texto nota pie Car"/>
    <w:basedOn w:val="Fuentedeprrafopredeter"/>
    <w:link w:val="Textonotapie"/>
    <w:uiPriority w:val="99"/>
    <w:rPr>
      <w:rFonts w:ascii="Times New Roman" w:eastAsia="Times New Roman" w:hAnsi="Times New Roman" w:cs="Times New Roman"/>
      <w:color w:val="000000"/>
      <w:sz w:val="20"/>
      <w:szCs w:val="20"/>
    </w:rPr>
  </w:style>
  <w:style w:type="character" w:customStyle="1" w:styleId="EncabezadoCar">
    <w:name w:val="Encabezado Car"/>
    <w:basedOn w:val="Fuentedeprrafopredeter"/>
    <w:link w:val="Encabezado"/>
    <w:uiPriority w:val="99"/>
    <w:rPr>
      <w:rFonts w:ascii="Times New Roman" w:eastAsia="Times New Roman" w:hAnsi="Times New Roman" w:cs="Times New Roman"/>
      <w:color w:val="000000"/>
      <w:sz w:val="24"/>
      <w:szCs w:val="24"/>
    </w:rPr>
  </w:style>
  <w:style w:type="character" w:customStyle="1" w:styleId="PiedepginaCar">
    <w:name w:val="Pie de página Car"/>
    <w:basedOn w:val="Fuentedeprrafopredeter"/>
    <w:link w:val="Piedepgina"/>
    <w:uiPriority w:val="99"/>
    <w:rPr>
      <w:rFonts w:ascii="Times New Roman" w:eastAsia="Times New Roman" w:hAnsi="Times New Roman" w:cs="Times New Roman"/>
      <w:color w:val="000000"/>
      <w:sz w:val="24"/>
      <w:szCs w:val="24"/>
    </w:rPr>
  </w:style>
  <w:style w:type="paragraph" w:styleId="Prrafodelista">
    <w:name w:val="List Paragraph"/>
    <w:basedOn w:val="Normal"/>
    <w:uiPriority w:val="34"/>
    <w:qFormat/>
    <w:pPr>
      <w:ind w:left="720"/>
      <w:contextualSpacing/>
    </w:pPr>
  </w:style>
  <w:style w:type="paragraph" w:customStyle="1" w:styleId="xmsonormal">
    <w:name w:val="x_msonormal"/>
    <w:basedOn w:val="Normal"/>
    <w:pPr>
      <w:widowControl/>
      <w:spacing w:before="100" w:beforeAutospacing="1" w:after="100" w:afterAutospacing="1"/>
    </w:pPr>
    <w:rPr>
      <w:color w:val="auto"/>
    </w:rPr>
  </w:style>
  <w:style w:type="character" w:customStyle="1" w:styleId="TextonotaalfinalCar">
    <w:name w:val="Texto nota al final Car"/>
    <w:basedOn w:val="Fuentedeprrafopredeter"/>
    <w:link w:val="Textonotaalfinal"/>
    <w:uiPriority w:val="99"/>
    <w:semiHidden/>
    <w:rPr>
      <w:rFonts w:ascii="Times New Roman" w:eastAsia="Times New Roman" w:hAnsi="Times New Roman" w:cs="Times New Roman"/>
      <w:color w:val="000000"/>
      <w:sz w:val="20"/>
      <w:szCs w:val="20"/>
    </w:rPr>
  </w:style>
  <w:style w:type="character" w:customStyle="1" w:styleId="TextocomentarioCar">
    <w:name w:val="Texto comentario Car"/>
    <w:basedOn w:val="Fuentedeprrafopredeter"/>
    <w:link w:val="Textocomentario"/>
    <w:uiPriority w:val="99"/>
    <w:semiHidden/>
    <w:rPr>
      <w:rFonts w:ascii="Times New Roman" w:eastAsia="Times New Roman" w:hAnsi="Times New Roman" w:cs="Times New Roman"/>
      <w:color w:val="000000"/>
      <w:sz w:val="20"/>
      <w:szCs w:val="20"/>
    </w:rPr>
  </w:style>
  <w:style w:type="character" w:customStyle="1" w:styleId="AsuntodelcomentarioCar">
    <w:name w:val="Asunto del comentario Car"/>
    <w:basedOn w:val="TextocomentarioCar"/>
    <w:link w:val="Asuntodelcomentario"/>
    <w:uiPriority w:val="99"/>
    <w:semiHidden/>
    <w:rPr>
      <w:rFonts w:ascii="Times New Roman" w:eastAsia="Times New Roman" w:hAnsi="Times New Roman" w:cs="Times New Roman"/>
      <w:b/>
      <w:bCs/>
      <w:color w:val="000000"/>
      <w:sz w:val="20"/>
      <w:szCs w:val="20"/>
    </w:rPr>
  </w:style>
  <w:style w:type="character" w:customStyle="1" w:styleId="TextodegloboCar">
    <w:name w:val="Texto de globo Car"/>
    <w:basedOn w:val="Fuentedeprrafopredeter"/>
    <w:link w:val="Textodeglobo"/>
    <w:uiPriority w:val="99"/>
    <w:semiHidden/>
    <w:rPr>
      <w:rFonts w:ascii="Segoe UI" w:eastAsia="Times New Roman" w:hAnsi="Segoe UI" w:cs="Segoe UI"/>
      <w:color w:val="000000"/>
      <w:sz w:val="18"/>
      <w:szCs w:val="18"/>
    </w:rPr>
  </w:style>
  <w:style w:type="table" w:customStyle="1" w:styleId="Estilo1">
    <w:name w:val="Estilo1"/>
    <w:basedOn w:val="Tablaweb1"/>
    <w:uiPriority w:val="99"/>
    <w:rsid w:val="0034288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1">
    <w:name w:val="Table Web 1"/>
    <w:basedOn w:val="Tablanormal"/>
    <w:uiPriority w:val="99"/>
    <w:semiHidden/>
    <w:unhideWhenUsed/>
    <w:rsid w:val="00342880"/>
    <w:pPr>
      <w:widowControl w:val="0"/>
      <w:spacing w:after="0" w:line="24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5201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who.int/mediacentre/factsheets/fs344/es/"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www.scielo.org.co/pdf/hpsal/v22n2/0121-7577-hpsal-22-02-00084.pdf"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uancarlossanchezd@gmail.com" TargetMode="External"/><Relationship Id="rId5" Type="http://schemas.openxmlformats.org/officeDocument/2006/relationships/settings" Target="settings.xml"/><Relationship Id="rId10" Type="http://schemas.openxmlformats.org/officeDocument/2006/relationships/hyperlink" Target="http://www.scielo.cl/scielo.php?script=sci_arttext&amp;pid=S0034-98872003000800008" TargetMode="External"/><Relationship Id="rId4" Type="http://schemas.openxmlformats.org/officeDocument/2006/relationships/styles" Target="styles.xml"/><Relationship Id="rId9" Type="http://schemas.openxmlformats.org/officeDocument/2006/relationships/hyperlink" Target="http://www.scielo.br/pdf/rlae/v20n5/es_15.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8E7112-5CB2-4935-AC6A-69434F704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3361</Words>
  <Characters>18490</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Invitado</cp:lastModifiedBy>
  <cp:revision>121</cp:revision>
  <dcterms:created xsi:type="dcterms:W3CDTF">2019-03-17T06:46:00Z</dcterms:created>
  <dcterms:modified xsi:type="dcterms:W3CDTF">2019-03-29T08:02:00Z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3082-10.2.0.6020</vt:lpwstr>
  </property>
</Properties>
</file>