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82A" w:rsidRDefault="0059682A" w:rsidP="00AD303F">
      <w:pPr>
        <w:spacing w:line="360" w:lineRule="auto"/>
        <w:jc w:val="both"/>
        <w:rPr>
          <w:rFonts w:ascii="Arial" w:hAnsi="Arial" w:cs="Arial"/>
          <w:b/>
          <w:sz w:val="24"/>
          <w:szCs w:val="24"/>
        </w:rPr>
      </w:pPr>
    </w:p>
    <w:p w:rsidR="00282423" w:rsidRPr="00166E17" w:rsidRDefault="00282423" w:rsidP="00AD303F">
      <w:pPr>
        <w:spacing w:line="360" w:lineRule="auto"/>
        <w:jc w:val="both"/>
        <w:rPr>
          <w:rFonts w:ascii="Arial" w:hAnsi="Arial" w:cs="Arial"/>
          <w:b/>
          <w:sz w:val="24"/>
          <w:szCs w:val="24"/>
        </w:rPr>
      </w:pPr>
      <w:r w:rsidRPr="00166E17">
        <w:rPr>
          <w:rFonts w:ascii="Arial" w:hAnsi="Arial" w:cs="Arial"/>
          <w:b/>
          <w:sz w:val="24"/>
          <w:szCs w:val="24"/>
        </w:rPr>
        <w:t>H</w:t>
      </w:r>
      <w:r w:rsidR="00C279EB" w:rsidRPr="00166E17">
        <w:rPr>
          <w:rFonts w:ascii="Arial" w:hAnsi="Arial" w:cs="Arial"/>
          <w:b/>
          <w:sz w:val="24"/>
          <w:szCs w:val="24"/>
        </w:rPr>
        <w:t>ormonas, alimentación</w:t>
      </w:r>
      <w:r w:rsidR="00166E17" w:rsidRPr="00166E17">
        <w:rPr>
          <w:rFonts w:ascii="Arial" w:hAnsi="Arial" w:cs="Arial"/>
          <w:b/>
          <w:sz w:val="24"/>
          <w:szCs w:val="24"/>
        </w:rPr>
        <w:t>,</w:t>
      </w:r>
      <w:r w:rsidR="00C279EB" w:rsidRPr="00166E17">
        <w:rPr>
          <w:rFonts w:ascii="Arial" w:hAnsi="Arial" w:cs="Arial"/>
          <w:b/>
          <w:sz w:val="24"/>
          <w:szCs w:val="24"/>
        </w:rPr>
        <w:t xml:space="preserve"> </w:t>
      </w:r>
      <w:r w:rsidRPr="00166E17">
        <w:rPr>
          <w:rFonts w:ascii="Arial" w:hAnsi="Arial" w:cs="Arial"/>
          <w:b/>
          <w:sz w:val="24"/>
          <w:szCs w:val="24"/>
        </w:rPr>
        <w:t>estrés</w:t>
      </w:r>
      <w:r w:rsidR="00166E17" w:rsidRPr="00166E17">
        <w:rPr>
          <w:rFonts w:ascii="Arial" w:hAnsi="Arial" w:cs="Arial"/>
          <w:b/>
          <w:sz w:val="24"/>
          <w:szCs w:val="24"/>
        </w:rPr>
        <w:t xml:space="preserve"> e infecciones</w:t>
      </w:r>
      <w:r w:rsidRPr="00166E17">
        <w:rPr>
          <w:rFonts w:ascii="Arial" w:hAnsi="Arial" w:cs="Arial"/>
          <w:b/>
          <w:sz w:val="24"/>
          <w:szCs w:val="24"/>
        </w:rPr>
        <w:t xml:space="preserve">: su papel </w:t>
      </w:r>
      <w:r w:rsidR="00167A2F" w:rsidRPr="00166E17">
        <w:rPr>
          <w:rFonts w:ascii="Arial" w:hAnsi="Arial" w:cs="Arial"/>
          <w:b/>
          <w:sz w:val="24"/>
          <w:szCs w:val="24"/>
        </w:rPr>
        <w:t>etiológico</w:t>
      </w:r>
      <w:r w:rsidRPr="00166E17">
        <w:rPr>
          <w:rFonts w:ascii="Arial" w:hAnsi="Arial" w:cs="Arial"/>
          <w:b/>
          <w:sz w:val="24"/>
          <w:szCs w:val="24"/>
        </w:rPr>
        <w:t xml:space="preserve"> </w:t>
      </w:r>
      <w:r w:rsidR="00167A2F" w:rsidRPr="00166E17">
        <w:rPr>
          <w:rFonts w:ascii="Arial" w:hAnsi="Arial" w:cs="Arial"/>
          <w:b/>
          <w:sz w:val="24"/>
          <w:szCs w:val="24"/>
        </w:rPr>
        <w:t>en</w:t>
      </w:r>
      <w:r w:rsidRPr="00166E17">
        <w:rPr>
          <w:rFonts w:ascii="Arial" w:hAnsi="Arial" w:cs="Arial"/>
          <w:b/>
          <w:sz w:val="24"/>
          <w:szCs w:val="24"/>
        </w:rPr>
        <w:t xml:space="preserve"> las enfermedades autoinmunes.</w:t>
      </w:r>
    </w:p>
    <w:p w:rsidR="00282423" w:rsidRPr="00166E17" w:rsidRDefault="00282423" w:rsidP="00AD303F">
      <w:pPr>
        <w:spacing w:line="360" w:lineRule="auto"/>
        <w:jc w:val="both"/>
        <w:rPr>
          <w:rFonts w:ascii="Arial" w:hAnsi="Arial" w:cs="Arial"/>
          <w:b/>
          <w:sz w:val="24"/>
          <w:szCs w:val="24"/>
        </w:rPr>
      </w:pPr>
    </w:p>
    <w:p w:rsidR="00282423" w:rsidRPr="00166E17" w:rsidRDefault="00282423" w:rsidP="00AD303F">
      <w:pPr>
        <w:spacing w:line="360" w:lineRule="auto"/>
        <w:jc w:val="both"/>
        <w:rPr>
          <w:rFonts w:ascii="Arial" w:hAnsi="Arial" w:cs="Arial"/>
          <w:b/>
          <w:sz w:val="24"/>
          <w:szCs w:val="24"/>
        </w:rPr>
      </w:pPr>
    </w:p>
    <w:p w:rsidR="00282423" w:rsidRPr="00166E17" w:rsidRDefault="00C279EB" w:rsidP="00AD303F">
      <w:pPr>
        <w:spacing w:line="360" w:lineRule="auto"/>
        <w:jc w:val="both"/>
        <w:rPr>
          <w:rFonts w:ascii="Arial" w:hAnsi="Arial" w:cs="Arial"/>
          <w:sz w:val="24"/>
          <w:szCs w:val="24"/>
          <w:vertAlign w:val="superscript"/>
        </w:rPr>
      </w:pPr>
      <w:r w:rsidRPr="00166E17">
        <w:rPr>
          <w:rFonts w:ascii="Arial" w:hAnsi="Arial" w:cs="Arial"/>
          <w:b/>
          <w:sz w:val="24"/>
          <w:szCs w:val="24"/>
          <w:lang w:val="es-CU"/>
        </w:rPr>
        <w:t>Authors:</w:t>
      </w:r>
      <w:r w:rsidR="00282423" w:rsidRPr="00166E17">
        <w:rPr>
          <w:rFonts w:ascii="Arial" w:hAnsi="Arial" w:cs="Arial"/>
          <w:sz w:val="24"/>
          <w:szCs w:val="24"/>
        </w:rPr>
        <w:t xml:space="preserve"> Amanda Rodríguez Manso</w:t>
      </w:r>
      <w:r w:rsidRPr="00166E17">
        <w:rPr>
          <w:rFonts w:ascii="Arial" w:hAnsi="Arial" w:cs="Arial"/>
          <w:sz w:val="24"/>
          <w:szCs w:val="24"/>
          <w:vertAlign w:val="superscript"/>
          <w:lang w:val="es-CU"/>
        </w:rPr>
        <w:t>1</w:t>
      </w:r>
    </w:p>
    <w:p w:rsidR="00282423" w:rsidRPr="00166E17" w:rsidRDefault="00282423" w:rsidP="00AD303F">
      <w:pPr>
        <w:spacing w:line="360" w:lineRule="auto"/>
        <w:jc w:val="both"/>
        <w:rPr>
          <w:rFonts w:ascii="Arial" w:hAnsi="Arial" w:cs="Arial"/>
          <w:sz w:val="24"/>
          <w:szCs w:val="24"/>
        </w:rPr>
      </w:pPr>
      <w:r w:rsidRPr="00166E17">
        <w:rPr>
          <w:rFonts w:ascii="Arial" w:hAnsi="Arial" w:cs="Arial"/>
          <w:sz w:val="24"/>
          <w:szCs w:val="24"/>
        </w:rPr>
        <w:t xml:space="preserve">                Maricarmen González-Costa</w:t>
      </w:r>
      <w:r w:rsidR="00C279EB" w:rsidRPr="00166E17">
        <w:rPr>
          <w:rFonts w:ascii="Arial" w:hAnsi="Arial" w:cs="Arial"/>
          <w:sz w:val="24"/>
          <w:szCs w:val="24"/>
          <w:vertAlign w:val="superscript"/>
          <w:lang w:val="es-CU"/>
        </w:rPr>
        <w:t>1</w:t>
      </w:r>
    </w:p>
    <w:p w:rsidR="00282423" w:rsidRPr="00166E17" w:rsidRDefault="00282423" w:rsidP="00AD303F">
      <w:pPr>
        <w:spacing w:line="360" w:lineRule="auto"/>
        <w:jc w:val="both"/>
        <w:rPr>
          <w:rFonts w:ascii="Arial" w:hAnsi="Arial" w:cs="Arial"/>
          <w:sz w:val="24"/>
          <w:szCs w:val="24"/>
          <w:vertAlign w:val="superscript"/>
        </w:rPr>
      </w:pPr>
      <w:r w:rsidRPr="00166E17">
        <w:rPr>
          <w:rFonts w:ascii="Arial" w:hAnsi="Arial" w:cs="Arial"/>
          <w:sz w:val="24"/>
          <w:szCs w:val="24"/>
        </w:rPr>
        <w:t xml:space="preserve">                Alexander Ariel Padrón-González</w:t>
      </w:r>
      <w:r w:rsidR="00C279EB" w:rsidRPr="00166E17">
        <w:rPr>
          <w:rFonts w:ascii="Arial" w:hAnsi="Arial" w:cs="Arial"/>
          <w:sz w:val="24"/>
          <w:szCs w:val="24"/>
          <w:vertAlign w:val="superscript"/>
          <w:lang w:val="es-CU"/>
        </w:rPr>
        <w:t>1</w:t>
      </w:r>
    </w:p>
    <w:p w:rsidR="00282423" w:rsidRDefault="00282423" w:rsidP="00AD303F">
      <w:pPr>
        <w:spacing w:line="360" w:lineRule="auto"/>
        <w:jc w:val="both"/>
        <w:rPr>
          <w:rFonts w:ascii="Arial" w:hAnsi="Arial" w:cs="Arial"/>
          <w:sz w:val="24"/>
          <w:szCs w:val="24"/>
        </w:rPr>
      </w:pPr>
      <w:r w:rsidRPr="00166E17">
        <w:rPr>
          <w:rFonts w:ascii="Arial" w:hAnsi="Arial" w:cs="Arial"/>
          <w:sz w:val="24"/>
          <w:szCs w:val="24"/>
        </w:rPr>
        <w:t xml:space="preserve">                </w:t>
      </w:r>
    </w:p>
    <w:p w:rsidR="00AD303F" w:rsidRDefault="00AD303F" w:rsidP="00AD303F">
      <w:pPr>
        <w:spacing w:line="360" w:lineRule="auto"/>
        <w:jc w:val="both"/>
        <w:rPr>
          <w:rFonts w:ascii="Arial" w:hAnsi="Arial" w:cs="Arial"/>
          <w:sz w:val="24"/>
          <w:szCs w:val="24"/>
        </w:rPr>
      </w:pPr>
    </w:p>
    <w:p w:rsidR="00AD303F" w:rsidRPr="00166E17" w:rsidRDefault="00AD303F" w:rsidP="00AD303F">
      <w:pPr>
        <w:spacing w:line="360" w:lineRule="auto"/>
        <w:jc w:val="both"/>
        <w:rPr>
          <w:rFonts w:ascii="Arial" w:hAnsi="Arial" w:cs="Arial"/>
          <w:sz w:val="24"/>
          <w:szCs w:val="24"/>
        </w:rPr>
      </w:pPr>
    </w:p>
    <w:p w:rsidR="00282423" w:rsidRPr="00166E17" w:rsidRDefault="00C279EB" w:rsidP="00AD303F">
      <w:pPr>
        <w:spacing w:line="360" w:lineRule="auto"/>
        <w:jc w:val="both"/>
        <w:rPr>
          <w:rFonts w:ascii="Arial" w:hAnsi="Arial" w:cs="Arial"/>
          <w:sz w:val="24"/>
          <w:szCs w:val="24"/>
        </w:rPr>
      </w:pPr>
      <w:r w:rsidRPr="00166E17">
        <w:rPr>
          <w:rFonts w:ascii="Arial" w:hAnsi="Arial" w:cs="Arial"/>
          <w:sz w:val="24"/>
          <w:szCs w:val="24"/>
          <w:vertAlign w:val="superscript"/>
          <w:lang w:val="es-CU"/>
        </w:rPr>
        <w:t>1</w:t>
      </w:r>
      <w:r w:rsidR="00282423" w:rsidRPr="00166E17">
        <w:rPr>
          <w:rFonts w:ascii="Arial" w:hAnsi="Arial" w:cs="Arial"/>
          <w:sz w:val="24"/>
          <w:szCs w:val="24"/>
        </w:rPr>
        <w:t>Instituto Ciencias Básicas y Preclínicas “Victoria de Girón”. Universidad de Ciencias Médicas de La Habana. Cuba</w:t>
      </w:r>
    </w:p>
    <w:p w:rsidR="00282423" w:rsidRPr="00166E17" w:rsidRDefault="00282423" w:rsidP="00AD303F">
      <w:pPr>
        <w:spacing w:line="360" w:lineRule="auto"/>
        <w:jc w:val="both"/>
        <w:rPr>
          <w:rFonts w:ascii="Arial" w:hAnsi="Arial" w:cs="Arial"/>
          <w:sz w:val="24"/>
          <w:szCs w:val="24"/>
        </w:rPr>
      </w:pPr>
    </w:p>
    <w:p w:rsidR="00C279EB" w:rsidRPr="00166E17" w:rsidRDefault="00C279EB" w:rsidP="00AD303F">
      <w:pPr>
        <w:spacing w:line="360" w:lineRule="auto"/>
        <w:jc w:val="both"/>
        <w:rPr>
          <w:rFonts w:ascii="Arial" w:hAnsi="Arial" w:cs="Arial"/>
          <w:sz w:val="24"/>
          <w:szCs w:val="24"/>
        </w:rPr>
      </w:pPr>
      <w:proofErr w:type="spellStart"/>
      <w:r w:rsidRPr="00166E17">
        <w:rPr>
          <w:rFonts w:ascii="Arial" w:hAnsi="Arial" w:cs="Arial"/>
          <w:b/>
          <w:sz w:val="24"/>
          <w:szCs w:val="24"/>
        </w:rPr>
        <w:t>Author</w:t>
      </w:r>
      <w:proofErr w:type="spellEnd"/>
      <w:r w:rsidRPr="00166E17">
        <w:rPr>
          <w:rFonts w:ascii="Arial" w:hAnsi="Arial" w:cs="Arial"/>
          <w:b/>
          <w:sz w:val="24"/>
          <w:szCs w:val="24"/>
        </w:rPr>
        <w:t xml:space="preserve"> in </w:t>
      </w:r>
      <w:proofErr w:type="spellStart"/>
      <w:r w:rsidRPr="00166E17">
        <w:rPr>
          <w:rFonts w:ascii="Arial" w:hAnsi="Arial" w:cs="Arial"/>
          <w:b/>
          <w:sz w:val="24"/>
          <w:szCs w:val="24"/>
        </w:rPr>
        <w:t>charge</w:t>
      </w:r>
      <w:proofErr w:type="spellEnd"/>
      <w:r w:rsidRPr="00166E17">
        <w:rPr>
          <w:rFonts w:ascii="Arial" w:hAnsi="Arial" w:cs="Arial"/>
          <w:b/>
          <w:sz w:val="24"/>
          <w:szCs w:val="24"/>
        </w:rPr>
        <w:t xml:space="preserve"> of </w:t>
      </w:r>
      <w:proofErr w:type="spellStart"/>
      <w:r w:rsidRPr="00166E17">
        <w:rPr>
          <w:rFonts w:ascii="Arial" w:hAnsi="Arial" w:cs="Arial"/>
          <w:b/>
          <w:sz w:val="24"/>
          <w:szCs w:val="24"/>
        </w:rPr>
        <w:t>correspondence</w:t>
      </w:r>
      <w:proofErr w:type="spellEnd"/>
      <w:r w:rsidRPr="00166E17">
        <w:rPr>
          <w:rFonts w:ascii="Arial" w:hAnsi="Arial" w:cs="Arial"/>
          <w:b/>
          <w:sz w:val="24"/>
          <w:szCs w:val="24"/>
        </w:rPr>
        <w:t xml:space="preserve">:  </w:t>
      </w:r>
      <w:r w:rsidRPr="00166E17">
        <w:rPr>
          <w:rFonts w:ascii="Arial" w:hAnsi="Arial" w:cs="Arial"/>
          <w:sz w:val="24"/>
          <w:szCs w:val="24"/>
        </w:rPr>
        <w:t>Maricarmen González-Costa</w:t>
      </w:r>
    </w:p>
    <w:p w:rsidR="00C279EB" w:rsidRPr="00166E17" w:rsidRDefault="00C279EB" w:rsidP="00AD303F">
      <w:pPr>
        <w:spacing w:line="360" w:lineRule="auto"/>
        <w:jc w:val="both"/>
        <w:rPr>
          <w:rFonts w:ascii="Arial" w:hAnsi="Arial" w:cs="Arial"/>
          <w:sz w:val="24"/>
          <w:szCs w:val="24"/>
          <w:lang w:val="es-CU"/>
        </w:rPr>
      </w:pPr>
      <w:r w:rsidRPr="00166E17">
        <w:rPr>
          <w:rFonts w:ascii="Arial" w:hAnsi="Arial" w:cs="Arial"/>
          <w:sz w:val="24"/>
          <w:szCs w:val="24"/>
        </w:rPr>
        <w:t xml:space="preserve">                                                                 </w:t>
      </w:r>
      <w:hyperlink r:id="rId7" w:history="1">
        <w:r w:rsidRPr="00166E17">
          <w:rPr>
            <w:rStyle w:val="Hipervnculo"/>
            <w:rFonts w:ascii="Arial" w:hAnsi="Arial" w:cs="Arial"/>
            <w:sz w:val="24"/>
            <w:szCs w:val="24"/>
            <w:lang w:val="es-CU"/>
          </w:rPr>
          <w:t>carmenmari@infomed.sld.cu</w:t>
        </w:r>
      </w:hyperlink>
    </w:p>
    <w:p w:rsidR="00282423" w:rsidRPr="00166E17" w:rsidRDefault="00282423" w:rsidP="00AD303F">
      <w:pPr>
        <w:spacing w:line="360" w:lineRule="auto"/>
        <w:jc w:val="both"/>
        <w:rPr>
          <w:rFonts w:ascii="Arial" w:hAnsi="Arial" w:cs="Arial"/>
          <w:b/>
          <w:sz w:val="24"/>
          <w:szCs w:val="24"/>
        </w:rPr>
      </w:pPr>
    </w:p>
    <w:p w:rsidR="00282423" w:rsidRPr="00166E17" w:rsidRDefault="00282423" w:rsidP="00AD303F">
      <w:pPr>
        <w:spacing w:line="360" w:lineRule="auto"/>
        <w:jc w:val="both"/>
        <w:rPr>
          <w:rFonts w:ascii="Arial" w:hAnsi="Arial" w:cs="Arial"/>
          <w:b/>
          <w:sz w:val="24"/>
          <w:szCs w:val="24"/>
        </w:rPr>
      </w:pPr>
    </w:p>
    <w:p w:rsidR="00282423" w:rsidRPr="00166E17" w:rsidRDefault="00282423" w:rsidP="00AD303F">
      <w:pPr>
        <w:spacing w:line="360" w:lineRule="auto"/>
        <w:jc w:val="both"/>
        <w:rPr>
          <w:rFonts w:ascii="Arial" w:hAnsi="Arial" w:cs="Arial"/>
          <w:b/>
          <w:sz w:val="24"/>
          <w:szCs w:val="24"/>
        </w:rPr>
      </w:pPr>
    </w:p>
    <w:p w:rsidR="00282423" w:rsidRPr="00166E17" w:rsidRDefault="00282423" w:rsidP="00AD303F">
      <w:pPr>
        <w:spacing w:line="360" w:lineRule="auto"/>
        <w:jc w:val="both"/>
        <w:rPr>
          <w:rFonts w:ascii="Arial" w:hAnsi="Arial" w:cs="Arial"/>
          <w:b/>
          <w:sz w:val="24"/>
          <w:szCs w:val="24"/>
        </w:rPr>
      </w:pPr>
    </w:p>
    <w:p w:rsidR="00282423" w:rsidRPr="00166E17" w:rsidRDefault="00282423" w:rsidP="00AD303F">
      <w:pPr>
        <w:spacing w:line="360" w:lineRule="auto"/>
        <w:jc w:val="both"/>
        <w:rPr>
          <w:rFonts w:ascii="Arial" w:hAnsi="Arial" w:cs="Arial"/>
          <w:b/>
          <w:sz w:val="24"/>
          <w:szCs w:val="24"/>
        </w:rPr>
      </w:pPr>
    </w:p>
    <w:p w:rsidR="00282423" w:rsidRPr="00166E17" w:rsidRDefault="00282423" w:rsidP="00AD303F">
      <w:pPr>
        <w:spacing w:line="360" w:lineRule="auto"/>
        <w:jc w:val="both"/>
        <w:rPr>
          <w:rFonts w:ascii="Arial" w:hAnsi="Arial" w:cs="Arial"/>
          <w:b/>
          <w:sz w:val="24"/>
          <w:szCs w:val="24"/>
        </w:rPr>
      </w:pPr>
    </w:p>
    <w:p w:rsidR="00282423" w:rsidRPr="00166E17" w:rsidRDefault="00282423" w:rsidP="00AD303F">
      <w:pPr>
        <w:spacing w:line="360" w:lineRule="auto"/>
        <w:jc w:val="both"/>
        <w:rPr>
          <w:rFonts w:ascii="Arial" w:hAnsi="Arial" w:cs="Arial"/>
          <w:b/>
          <w:sz w:val="24"/>
          <w:szCs w:val="24"/>
        </w:rPr>
      </w:pPr>
    </w:p>
    <w:p w:rsidR="00282423" w:rsidRPr="00166E17" w:rsidRDefault="00282423" w:rsidP="00AD303F">
      <w:pPr>
        <w:spacing w:line="360" w:lineRule="auto"/>
        <w:jc w:val="both"/>
        <w:rPr>
          <w:rFonts w:ascii="Arial" w:hAnsi="Arial" w:cs="Arial"/>
          <w:b/>
          <w:sz w:val="24"/>
          <w:szCs w:val="24"/>
        </w:rPr>
      </w:pPr>
    </w:p>
    <w:p w:rsidR="0059682A" w:rsidRDefault="0059682A" w:rsidP="00AD303F">
      <w:pPr>
        <w:spacing w:line="360" w:lineRule="auto"/>
        <w:jc w:val="both"/>
        <w:rPr>
          <w:rFonts w:ascii="Arial" w:hAnsi="Arial" w:cs="Arial"/>
          <w:b/>
          <w:sz w:val="24"/>
          <w:szCs w:val="24"/>
        </w:rPr>
      </w:pPr>
    </w:p>
    <w:p w:rsidR="00282423" w:rsidRDefault="00282423" w:rsidP="00AD303F">
      <w:pPr>
        <w:spacing w:line="360" w:lineRule="auto"/>
        <w:jc w:val="both"/>
        <w:rPr>
          <w:rFonts w:ascii="Arial" w:hAnsi="Arial" w:cs="Arial"/>
          <w:b/>
          <w:sz w:val="24"/>
          <w:szCs w:val="24"/>
        </w:rPr>
      </w:pPr>
      <w:r w:rsidRPr="00166E17">
        <w:rPr>
          <w:rFonts w:ascii="Arial" w:hAnsi="Arial" w:cs="Arial"/>
          <w:b/>
          <w:sz w:val="24"/>
          <w:szCs w:val="24"/>
        </w:rPr>
        <w:t>Resumen</w:t>
      </w:r>
    </w:p>
    <w:p w:rsidR="0059682A" w:rsidRPr="00166E17" w:rsidRDefault="0059682A" w:rsidP="00AD303F">
      <w:pPr>
        <w:spacing w:line="360" w:lineRule="auto"/>
        <w:jc w:val="both"/>
        <w:rPr>
          <w:rFonts w:ascii="Arial" w:hAnsi="Arial" w:cs="Arial"/>
          <w:b/>
          <w:sz w:val="24"/>
          <w:szCs w:val="24"/>
        </w:rPr>
      </w:pPr>
      <w:bookmarkStart w:id="0" w:name="_GoBack"/>
      <w:bookmarkEnd w:id="0"/>
    </w:p>
    <w:p w:rsidR="00282423" w:rsidRPr="00166E17" w:rsidRDefault="00282423" w:rsidP="00AD303F">
      <w:pPr>
        <w:spacing w:line="360" w:lineRule="auto"/>
        <w:jc w:val="both"/>
        <w:rPr>
          <w:rFonts w:ascii="Arial" w:hAnsi="Arial" w:cs="Arial"/>
          <w:sz w:val="24"/>
          <w:szCs w:val="24"/>
        </w:rPr>
      </w:pPr>
      <w:r w:rsidRPr="00166E17">
        <w:rPr>
          <w:rFonts w:ascii="Arial" w:hAnsi="Arial" w:cs="Arial"/>
          <w:b/>
          <w:sz w:val="24"/>
          <w:szCs w:val="24"/>
        </w:rPr>
        <w:t>Introducción:</w:t>
      </w:r>
      <w:r w:rsidRPr="00166E17">
        <w:rPr>
          <w:rFonts w:ascii="Arial" w:hAnsi="Arial" w:cs="Arial"/>
          <w:sz w:val="24"/>
          <w:szCs w:val="24"/>
        </w:rPr>
        <w:t xml:space="preserve"> La etiología de las enfermedades autoinmunes aún se </w:t>
      </w:r>
      <w:r w:rsidR="0099731E" w:rsidRPr="00166E17">
        <w:rPr>
          <w:rFonts w:ascii="Arial" w:hAnsi="Arial" w:cs="Arial"/>
          <w:sz w:val="24"/>
          <w:szCs w:val="24"/>
        </w:rPr>
        <w:t>desconoce,</w:t>
      </w:r>
      <w:r w:rsidRPr="00166E17">
        <w:rPr>
          <w:rFonts w:ascii="Arial" w:hAnsi="Arial" w:cs="Arial"/>
          <w:sz w:val="24"/>
          <w:szCs w:val="24"/>
        </w:rPr>
        <w:t xml:space="preserve"> pero se plantean diferentes causas.</w:t>
      </w:r>
    </w:p>
    <w:p w:rsidR="00282423" w:rsidRPr="00166E17" w:rsidRDefault="00282423" w:rsidP="00AD303F">
      <w:pPr>
        <w:spacing w:line="360" w:lineRule="auto"/>
        <w:jc w:val="both"/>
        <w:rPr>
          <w:rFonts w:ascii="Arial" w:hAnsi="Arial" w:cs="Arial"/>
          <w:sz w:val="24"/>
          <w:szCs w:val="24"/>
        </w:rPr>
      </w:pPr>
      <w:r w:rsidRPr="00166E17">
        <w:rPr>
          <w:rFonts w:ascii="Arial" w:hAnsi="Arial" w:cs="Arial"/>
          <w:b/>
          <w:sz w:val="24"/>
          <w:szCs w:val="24"/>
        </w:rPr>
        <w:t>Objetivo:</w:t>
      </w:r>
      <w:r w:rsidRPr="00166E17">
        <w:rPr>
          <w:rFonts w:ascii="Arial" w:hAnsi="Arial" w:cs="Arial"/>
          <w:sz w:val="24"/>
          <w:szCs w:val="24"/>
        </w:rPr>
        <w:t xml:space="preserve"> Describir el papel </w:t>
      </w:r>
      <w:r w:rsidR="00167A2F" w:rsidRPr="00166E17">
        <w:rPr>
          <w:rFonts w:ascii="Arial" w:hAnsi="Arial" w:cs="Arial"/>
          <w:sz w:val="24"/>
          <w:szCs w:val="24"/>
        </w:rPr>
        <w:t xml:space="preserve">de </w:t>
      </w:r>
      <w:r w:rsidRPr="00166E17">
        <w:rPr>
          <w:rFonts w:ascii="Arial" w:hAnsi="Arial" w:cs="Arial"/>
          <w:sz w:val="24"/>
          <w:szCs w:val="24"/>
        </w:rPr>
        <w:t xml:space="preserve">las hormonas, </w:t>
      </w:r>
      <w:r w:rsidR="00167A2F" w:rsidRPr="00166E17">
        <w:rPr>
          <w:rFonts w:ascii="Arial" w:hAnsi="Arial" w:cs="Arial"/>
          <w:sz w:val="24"/>
          <w:szCs w:val="24"/>
        </w:rPr>
        <w:t>la alimentación</w:t>
      </w:r>
      <w:r w:rsidR="00166E17" w:rsidRPr="00166E17">
        <w:rPr>
          <w:rFonts w:ascii="Arial" w:hAnsi="Arial" w:cs="Arial"/>
          <w:sz w:val="24"/>
          <w:szCs w:val="24"/>
        </w:rPr>
        <w:t>,</w:t>
      </w:r>
      <w:r w:rsidR="00167A2F" w:rsidRPr="00166E17">
        <w:rPr>
          <w:rFonts w:ascii="Arial" w:hAnsi="Arial" w:cs="Arial"/>
          <w:sz w:val="24"/>
          <w:szCs w:val="24"/>
        </w:rPr>
        <w:t xml:space="preserve"> el</w:t>
      </w:r>
      <w:r w:rsidRPr="00166E17">
        <w:rPr>
          <w:rFonts w:ascii="Arial" w:hAnsi="Arial" w:cs="Arial"/>
          <w:sz w:val="24"/>
          <w:szCs w:val="24"/>
        </w:rPr>
        <w:t xml:space="preserve"> estrés</w:t>
      </w:r>
      <w:r w:rsidR="00166E17" w:rsidRPr="00166E17">
        <w:rPr>
          <w:rFonts w:ascii="Arial" w:hAnsi="Arial" w:cs="Arial"/>
          <w:sz w:val="24"/>
          <w:szCs w:val="24"/>
        </w:rPr>
        <w:t xml:space="preserve"> y las infecciones</w:t>
      </w:r>
      <w:r w:rsidRPr="00166E17">
        <w:rPr>
          <w:rFonts w:ascii="Arial" w:hAnsi="Arial" w:cs="Arial"/>
          <w:sz w:val="24"/>
          <w:szCs w:val="24"/>
        </w:rPr>
        <w:t xml:space="preserve"> en la etiología de las enfermedades autoinmunes.</w:t>
      </w:r>
    </w:p>
    <w:p w:rsidR="00282423" w:rsidRPr="00166E17" w:rsidRDefault="00282423" w:rsidP="00AD303F">
      <w:pPr>
        <w:spacing w:line="360" w:lineRule="auto"/>
        <w:jc w:val="both"/>
        <w:rPr>
          <w:rFonts w:ascii="Arial" w:hAnsi="Arial" w:cs="Arial"/>
          <w:sz w:val="24"/>
          <w:szCs w:val="24"/>
        </w:rPr>
      </w:pPr>
      <w:r w:rsidRPr="00166E17">
        <w:rPr>
          <w:rFonts w:ascii="Arial" w:hAnsi="Arial" w:cs="Arial"/>
          <w:b/>
          <w:sz w:val="24"/>
          <w:szCs w:val="24"/>
        </w:rPr>
        <w:t xml:space="preserve">Material y Métodos: </w:t>
      </w:r>
      <w:r w:rsidRPr="00166E17">
        <w:rPr>
          <w:rFonts w:ascii="Arial" w:hAnsi="Arial" w:cs="Arial"/>
          <w:sz w:val="24"/>
          <w:szCs w:val="24"/>
        </w:rPr>
        <w:t xml:space="preserve">Se realizó una revisión bibliográfica empleando el Google Académico y artículos de libre acceso en la base de datos </w:t>
      </w:r>
      <w:proofErr w:type="spellStart"/>
      <w:r w:rsidRPr="00166E17">
        <w:rPr>
          <w:rFonts w:ascii="Arial" w:hAnsi="Arial" w:cs="Arial"/>
          <w:sz w:val="24"/>
          <w:szCs w:val="24"/>
        </w:rPr>
        <w:t>Pubmed</w:t>
      </w:r>
      <w:proofErr w:type="spellEnd"/>
      <w:r w:rsidRPr="00166E17">
        <w:rPr>
          <w:rFonts w:ascii="Arial" w:hAnsi="Arial" w:cs="Arial"/>
          <w:sz w:val="24"/>
          <w:szCs w:val="24"/>
        </w:rPr>
        <w:t xml:space="preserve"> y </w:t>
      </w:r>
      <w:proofErr w:type="spellStart"/>
      <w:r w:rsidRPr="00166E17">
        <w:rPr>
          <w:rFonts w:ascii="Arial" w:hAnsi="Arial" w:cs="Arial"/>
          <w:sz w:val="24"/>
          <w:szCs w:val="24"/>
        </w:rPr>
        <w:t>Scielo</w:t>
      </w:r>
      <w:proofErr w:type="spellEnd"/>
      <w:r w:rsidRPr="00166E17">
        <w:rPr>
          <w:rFonts w:ascii="Arial" w:hAnsi="Arial" w:cs="Arial"/>
          <w:sz w:val="24"/>
          <w:szCs w:val="24"/>
        </w:rPr>
        <w:t xml:space="preserve"> de 2015 a 2019. Se utilizaron los términos de búsqueda según los descriptores del </w:t>
      </w:r>
      <w:proofErr w:type="spellStart"/>
      <w:r w:rsidRPr="00166E17">
        <w:rPr>
          <w:rFonts w:ascii="Arial" w:hAnsi="Arial" w:cs="Arial"/>
          <w:sz w:val="24"/>
          <w:szCs w:val="24"/>
        </w:rPr>
        <w:t>DeCS</w:t>
      </w:r>
      <w:proofErr w:type="spellEnd"/>
      <w:r w:rsidRPr="00166E17">
        <w:rPr>
          <w:rFonts w:ascii="Arial" w:hAnsi="Arial" w:cs="Arial"/>
          <w:sz w:val="24"/>
          <w:szCs w:val="24"/>
        </w:rPr>
        <w:t xml:space="preserve"> y </w:t>
      </w:r>
      <w:proofErr w:type="spellStart"/>
      <w:r w:rsidRPr="00166E17">
        <w:rPr>
          <w:rFonts w:ascii="Arial" w:hAnsi="Arial" w:cs="Arial"/>
          <w:sz w:val="24"/>
          <w:szCs w:val="24"/>
        </w:rPr>
        <w:t>MeSH</w:t>
      </w:r>
      <w:proofErr w:type="spellEnd"/>
      <w:r w:rsidRPr="00166E17">
        <w:rPr>
          <w:rFonts w:ascii="Arial" w:hAnsi="Arial" w:cs="Arial"/>
          <w:sz w:val="24"/>
          <w:szCs w:val="24"/>
        </w:rPr>
        <w:t>.</w:t>
      </w:r>
    </w:p>
    <w:p w:rsidR="00282423" w:rsidRPr="00166E17" w:rsidRDefault="00282423" w:rsidP="00AD303F">
      <w:pPr>
        <w:pStyle w:val="Textopreformateado"/>
        <w:spacing w:after="200" w:line="360" w:lineRule="auto"/>
        <w:jc w:val="both"/>
        <w:rPr>
          <w:rFonts w:ascii="Arial" w:eastAsia="Calibri" w:hAnsi="Arial" w:cs="Arial"/>
          <w:sz w:val="24"/>
          <w:szCs w:val="24"/>
          <w:lang w:val="es-ES"/>
        </w:rPr>
      </w:pPr>
      <w:r w:rsidRPr="00166E17">
        <w:rPr>
          <w:rFonts w:ascii="Arial" w:eastAsia="Calibri" w:hAnsi="Arial" w:cs="Arial"/>
          <w:b/>
          <w:sz w:val="24"/>
          <w:szCs w:val="24"/>
          <w:lang w:val="es-ES"/>
        </w:rPr>
        <w:t xml:space="preserve">Desarrollo: </w:t>
      </w:r>
      <w:r w:rsidRPr="00166E17">
        <w:rPr>
          <w:rFonts w:ascii="Arial" w:eastAsia="Calibri" w:hAnsi="Arial" w:cs="Arial"/>
          <w:sz w:val="24"/>
          <w:szCs w:val="24"/>
          <w:lang w:val="es-ES"/>
        </w:rPr>
        <w:t>Es bien conocido que</w:t>
      </w:r>
      <w:r w:rsidRPr="00166E17">
        <w:rPr>
          <w:rFonts w:ascii="Arial" w:eastAsia="Calibri" w:hAnsi="Arial" w:cs="Arial"/>
          <w:b/>
          <w:sz w:val="24"/>
          <w:szCs w:val="24"/>
          <w:lang w:val="es-ES"/>
        </w:rPr>
        <w:t xml:space="preserve"> </w:t>
      </w:r>
      <w:r w:rsidRPr="00166E17">
        <w:rPr>
          <w:rFonts w:ascii="Arial" w:eastAsia="Calibri" w:hAnsi="Arial" w:cs="Arial"/>
          <w:sz w:val="24"/>
          <w:szCs w:val="24"/>
          <w:lang w:val="es-ES"/>
        </w:rPr>
        <w:t>las hormonas</w:t>
      </w:r>
      <w:r w:rsidRPr="00166E17">
        <w:rPr>
          <w:rFonts w:ascii="Arial" w:eastAsia="Calibri" w:hAnsi="Arial" w:cs="Arial"/>
          <w:b/>
          <w:sz w:val="24"/>
          <w:szCs w:val="24"/>
          <w:lang w:val="es-ES"/>
        </w:rPr>
        <w:t xml:space="preserve"> </w:t>
      </w:r>
      <w:r w:rsidRPr="00166E17">
        <w:rPr>
          <w:rFonts w:ascii="Arial" w:eastAsia="Calibri" w:hAnsi="Arial" w:cs="Arial"/>
          <w:sz w:val="24"/>
          <w:szCs w:val="24"/>
          <w:lang w:val="es-ES"/>
        </w:rPr>
        <w:t xml:space="preserve">femeninas incrementan el riesgo </w:t>
      </w:r>
      <w:r w:rsidR="00166E17" w:rsidRPr="00166E17">
        <w:rPr>
          <w:rFonts w:ascii="Arial" w:eastAsia="Calibri" w:hAnsi="Arial" w:cs="Arial"/>
          <w:sz w:val="24"/>
          <w:szCs w:val="24"/>
          <w:lang w:val="es-ES"/>
        </w:rPr>
        <w:t>de las enfermedades autoinmunes</w:t>
      </w:r>
      <w:r w:rsidRPr="00166E17">
        <w:rPr>
          <w:rFonts w:ascii="Arial" w:eastAsia="Calibri" w:hAnsi="Arial" w:cs="Arial"/>
          <w:sz w:val="24"/>
          <w:szCs w:val="24"/>
          <w:lang w:val="es-ES"/>
        </w:rPr>
        <w:t xml:space="preserve">. El estrés puede mantener respuestas inflamatorias crónicas de bajo grado que causen daño tisular, iniciando o agravando las manifestaciones clínicas de autoinmunidad. Una adecuada alimentación permite que los comensales de la microbiota intestinal mantengan la homeostasis del sistema inmune. Hoy día se emplea, sobre todo en los países desarrollados, el glutamato como potenciador del sabor. Tal vez sea una de las causas de la mayor incidencia de enfermedades autoinmunes en estas regiones. </w:t>
      </w:r>
    </w:p>
    <w:p w:rsidR="00282423" w:rsidRDefault="00282423" w:rsidP="00AD303F">
      <w:pPr>
        <w:spacing w:line="360" w:lineRule="auto"/>
        <w:jc w:val="both"/>
        <w:rPr>
          <w:rFonts w:ascii="Arial" w:hAnsi="Arial" w:cs="Arial"/>
          <w:sz w:val="24"/>
          <w:szCs w:val="24"/>
        </w:rPr>
      </w:pPr>
      <w:r w:rsidRPr="00166E17">
        <w:rPr>
          <w:rFonts w:ascii="Arial" w:hAnsi="Arial" w:cs="Arial"/>
          <w:b/>
          <w:sz w:val="24"/>
          <w:szCs w:val="24"/>
        </w:rPr>
        <w:t xml:space="preserve">Conclusiones: </w:t>
      </w:r>
      <w:r w:rsidRPr="00166E17">
        <w:rPr>
          <w:rFonts w:ascii="Arial" w:hAnsi="Arial" w:cs="Arial"/>
          <w:sz w:val="24"/>
          <w:szCs w:val="24"/>
        </w:rPr>
        <w:t xml:space="preserve">Las enfermedades autoinmunes son más frecuentes en las mujeres. Una alimentación adecuada permite que la microbiota intestinal no se altere y que mantenga la homeostasis inmunológica. </w:t>
      </w:r>
      <w:r w:rsidR="00512EAC" w:rsidRPr="00166E17">
        <w:rPr>
          <w:rFonts w:ascii="Arial" w:hAnsi="Arial" w:cs="Arial"/>
          <w:sz w:val="24"/>
          <w:szCs w:val="24"/>
        </w:rPr>
        <w:t>Infecciones y s</w:t>
      </w:r>
      <w:r w:rsidRPr="00166E17">
        <w:rPr>
          <w:rFonts w:ascii="Arial" w:hAnsi="Arial" w:cs="Arial"/>
          <w:sz w:val="24"/>
          <w:szCs w:val="24"/>
        </w:rPr>
        <w:t xml:space="preserve">ituaciones de estrés pueden desencadenar o exacerbar las manifestaciones clínicas de la autoinmunidad. </w:t>
      </w:r>
    </w:p>
    <w:p w:rsidR="00166E17" w:rsidRPr="00166E17" w:rsidRDefault="00166E17" w:rsidP="00AD303F">
      <w:pPr>
        <w:spacing w:line="360" w:lineRule="auto"/>
        <w:jc w:val="both"/>
        <w:rPr>
          <w:rFonts w:ascii="Arial" w:hAnsi="Arial" w:cs="Arial"/>
          <w:sz w:val="24"/>
          <w:szCs w:val="24"/>
        </w:rPr>
      </w:pPr>
    </w:p>
    <w:p w:rsidR="00282423" w:rsidRPr="00166E17" w:rsidRDefault="00282423" w:rsidP="00AD303F">
      <w:pPr>
        <w:spacing w:line="360" w:lineRule="auto"/>
        <w:jc w:val="both"/>
        <w:rPr>
          <w:rFonts w:ascii="Arial" w:hAnsi="Arial" w:cs="Arial"/>
          <w:sz w:val="24"/>
          <w:szCs w:val="24"/>
        </w:rPr>
      </w:pPr>
      <w:r w:rsidRPr="00166E17">
        <w:rPr>
          <w:rFonts w:ascii="Arial" w:hAnsi="Arial" w:cs="Arial"/>
          <w:b/>
          <w:sz w:val="24"/>
          <w:szCs w:val="24"/>
        </w:rPr>
        <w:t xml:space="preserve">Palabras clave: </w:t>
      </w:r>
      <w:r w:rsidR="00512EAC" w:rsidRPr="00166E17">
        <w:rPr>
          <w:rFonts w:ascii="Arial" w:hAnsi="Arial" w:cs="Arial"/>
          <w:sz w:val="24"/>
          <w:szCs w:val="24"/>
        </w:rPr>
        <w:t>autoinmunidad; hormonas- autoinmunidad; estrés- autoinmunidad; alimentación- autoinmunidad; infecciones- autoinmunidad.</w:t>
      </w:r>
    </w:p>
    <w:p w:rsidR="00C279EB" w:rsidRPr="00166E17" w:rsidRDefault="00512EAC" w:rsidP="00AD303F">
      <w:pPr>
        <w:spacing w:line="360" w:lineRule="auto"/>
        <w:jc w:val="both"/>
        <w:rPr>
          <w:rFonts w:ascii="Arial" w:hAnsi="Arial" w:cs="Arial"/>
          <w:sz w:val="24"/>
          <w:szCs w:val="24"/>
        </w:rPr>
      </w:pPr>
      <w:r w:rsidRPr="00166E17">
        <w:rPr>
          <w:rFonts w:ascii="Arial" w:hAnsi="Arial" w:cs="Arial"/>
          <w:sz w:val="24"/>
          <w:szCs w:val="24"/>
        </w:rPr>
        <w:br w:type="page"/>
      </w:r>
    </w:p>
    <w:p w:rsidR="00C279EB" w:rsidRPr="00166E17" w:rsidRDefault="00C279EB" w:rsidP="00AD303F">
      <w:pPr>
        <w:spacing w:line="360" w:lineRule="auto"/>
        <w:jc w:val="both"/>
        <w:rPr>
          <w:rFonts w:ascii="Arial" w:hAnsi="Arial" w:cs="Arial"/>
          <w:b/>
          <w:sz w:val="24"/>
          <w:szCs w:val="24"/>
        </w:rPr>
      </w:pPr>
      <w:r w:rsidRPr="00166E17">
        <w:rPr>
          <w:rFonts w:ascii="Arial" w:hAnsi="Arial" w:cs="Arial"/>
          <w:b/>
          <w:sz w:val="24"/>
          <w:szCs w:val="24"/>
        </w:rPr>
        <w:lastRenderedPageBreak/>
        <w:t>Introducción</w:t>
      </w:r>
    </w:p>
    <w:p w:rsidR="00C279EB" w:rsidRPr="00166E17" w:rsidRDefault="00D85385" w:rsidP="00AD303F">
      <w:pPr>
        <w:spacing w:line="360" w:lineRule="auto"/>
        <w:jc w:val="both"/>
        <w:rPr>
          <w:rFonts w:ascii="Arial" w:hAnsi="Arial" w:cs="Arial"/>
          <w:sz w:val="24"/>
          <w:szCs w:val="24"/>
        </w:rPr>
      </w:pPr>
      <w:r w:rsidRPr="00166E17">
        <w:rPr>
          <w:rFonts w:ascii="Arial" w:eastAsia="BookmanOldStyle" w:hAnsi="Arial" w:cs="Arial"/>
          <w:sz w:val="24"/>
          <w:szCs w:val="24"/>
        </w:rPr>
        <w:t>Los</w:t>
      </w:r>
      <w:r w:rsidRPr="00166E17">
        <w:rPr>
          <w:rFonts w:ascii="Arial" w:eastAsia="BookmanOldStyle" w:hAnsi="Arial" w:cs="Arial"/>
          <w:sz w:val="24"/>
          <w:szCs w:val="24"/>
          <w:lang w:val="es-CU"/>
        </w:rPr>
        <w:t xml:space="preserve"> fallos en la tolerancia </w:t>
      </w:r>
      <w:r w:rsidR="00C279EB" w:rsidRPr="00166E17">
        <w:rPr>
          <w:rFonts w:ascii="Arial" w:hAnsi="Arial" w:cs="Arial"/>
          <w:sz w:val="24"/>
          <w:szCs w:val="24"/>
        </w:rPr>
        <w:t>origina</w:t>
      </w:r>
      <w:r w:rsidRPr="00166E17">
        <w:rPr>
          <w:rFonts w:ascii="Arial" w:hAnsi="Arial" w:cs="Arial"/>
          <w:sz w:val="24"/>
          <w:szCs w:val="24"/>
        </w:rPr>
        <w:t>n autoanticuerpos y</w:t>
      </w:r>
      <w:r w:rsidR="00C279EB" w:rsidRPr="00166E17">
        <w:rPr>
          <w:rFonts w:ascii="Arial" w:hAnsi="Arial" w:cs="Arial"/>
          <w:sz w:val="24"/>
          <w:szCs w:val="24"/>
        </w:rPr>
        <w:t xml:space="preserve"> linfocitos autorreactivos</w:t>
      </w:r>
      <w:r w:rsidRPr="00166E17">
        <w:rPr>
          <w:rFonts w:ascii="Arial" w:hAnsi="Arial" w:cs="Arial"/>
          <w:sz w:val="24"/>
          <w:szCs w:val="24"/>
        </w:rPr>
        <w:t xml:space="preserve"> que </w:t>
      </w:r>
      <w:r w:rsidRPr="00166E17">
        <w:rPr>
          <w:rFonts w:ascii="Arial" w:hAnsi="Arial" w:cs="Arial"/>
          <w:sz w:val="24"/>
          <w:szCs w:val="24"/>
          <w:lang w:val="es-CU"/>
        </w:rPr>
        <w:t>causan las enfermedades autoinmunes</w:t>
      </w:r>
      <w:r w:rsidR="00C279EB" w:rsidRPr="00166E17">
        <w:rPr>
          <w:rFonts w:ascii="Arial" w:hAnsi="Arial" w:cs="Arial"/>
          <w:sz w:val="24"/>
          <w:szCs w:val="24"/>
        </w:rPr>
        <w:t xml:space="preserve">. Estos desencadenan respuestas inmunes lesivas para el organismo. </w:t>
      </w:r>
      <w:r w:rsidR="00DC217E" w:rsidRPr="00166E17">
        <w:rPr>
          <w:rFonts w:ascii="Arial" w:hAnsi="Arial" w:cs="Arial"/>
          <w:sz w:val="24"/>
          <w:szCs w:val="24"/>
        </w:rPr>
        <w:t>Aun cuando l</w:t>
      </w:r>
      <w:r w:rsidR="00C279EB" w:rsidRPr="00166E17">
        <w:rPr>
          <w:rFonts w:ascii="Arial" w:hAnsi="Arial" w:cs="Arial"/>
          <w:sz w:val="24"/>
          <w:szCs w:val="24"/>
        </w:rPr>
        <w:t xml:space="preserve">a </w:t>
      </w:r>
      <w:r w:rsidR="00DC217E" w:rsidRPr="00166E17">
        <w:rPr>
          <w:rFonts w:ascii="Arial" w:hAnsi="Arial" w:cs="Arial"/>
          <w:sz w:val="24"/>
          <w:szCs w:val="24"/>
        </w:rPr>
        <w:t>genética es un factor predisponente, la dieta, las hormonas, el estrés, entre otros, son necesarios para desencadenarlas. No</w:t>
      </w:r>
      <w:r w:rsidR="00C279EB" w:rsidRPr="00166E17">
        <w:rPr>
          <w:rFonts w:ascii="Arial" w:hAnsi="Arial" w:cs="Arial"/>
          <w:sz w:val="24"/>
          <w:szCs w:val="24"/>
        </w:rPr>
        <w:t xml:space="preserve"> obstante, </w:t>
      </w:r>
      <w:r w:rsidR="00DC217E" w:rsidRPr="00166E17">
        <w:rPr>
          <w:rFonts w:ascii="Arial" w:hAnsi="Arial" w:cs="Arial"/>
          <w:sz w:val="24"/>
          <w:szCs w:val="24"/>
        </w:rPr>
        <w:t xml:space="preserve">se desconoce </w:t>
      </w:r>
      <w:r w:rsidR="00D3322C" w:rsidRPr="00166E17">
        <w:rPr>
          <w:rFonts w:ascii="Arial" w:hAnsi="Arial" w:cs="Arial"/>
          <w:sz w:val="24"/>
          <w:szCs w:val="24"/>
        </w:rPr>
        <w:t>el inicio</w:t>
      </w:r>
      <w:r w:rsidR="00DC217E" w:rsidRPr="00166E17">
        <w:rPr>
          <w:rFonts w:ascii="Arial" w:hAnsi="Arial" w:cs="Arial"/>
          <w:sz w:val="24"/>
          <w:szCs w:val="24"/>
        </w:rPr>
        <w:t xml:space="preserve"> </w:t>
      </w:r>
      <w:r w:rsidR="006F30C5" w:rsidRPr="00166E17">
        <w:rPr>
          <w:rFonts w:ascii="Arial" w:hAnsi="Arial" w:cs="Arial"/>
          <w:sz w:val="24"/>
          <w:szCs w:val="24"/>
        </w:rPr>
        <w:t>estos</w:t>
      </w:r>
      <w:r w:rsidR="003E7D0A">
        <w:rPr>
          <w:rFonts w:ascii="Arial" w:hAnsi="Arial" w:cs="Arial"/>
          <w:sz w:val="24"/>
          <w:szCs w:val="24"/>
        </w:rPr>
        <w:t xml:space="preserve"> mecanismos</w:t>
      </w:r>
      <w:r w:rsidR="00166E17">
        <w:rPr>
          <w:rFonts w:ascii="Arial" w:hAnsi="Arial" w:cs="Arial"/>
          <w:sz w:val="24"/>
          <w:szCs w:val="24"/>
        </w:rPr>
        <w:t>.</w:t>
      </w:r>
      <w:r w:rsidR="00ED7192" w:rsidRPr="00166E17">
        <w:rPr>
          <w:rFonts w:ascii="Arial" w:hAnsi="Arial" w:cs="Arial"/>
          <w:sz w:val="24"/>
          <w:szCs w:val="24"/>
        </w:rPr>
        <w:t>1</w:t>
      </w:r>
      <w:proofErr w:type="gramStart"/>
      <w:r w:rsidR="00ED7192" w:rsidRPr="00166E17">
        <w:rPr>
          <w:rFonts w:ascii="Arial" w:hAnsi="Arial" w:cs="Arial"/>
          <w:sz w:val="24"/>
          <w:szCs w:val="24"/>
        </w:rPr>
        <w:t>,</w:t>
      </w:r>
      <w:r w:rsidR="00C279EB" w:rsidRPr="00166E17">
        <w:rPr>
          <w:rFonts w:ascii="Arial" w:hAnsi="Arial" w:cs="Arial"/>
          <w:sz w:val="24"/>
          <w:szCs w:val="24"/>
        </w:rPr>
        <w:t>2</w:t>
      </w:r>
      <w:r w:rsidR="0099731E" w:rsidRPr="00166E17">
        <w:rPr>
          <w:rFonts w:ascii="Arial" w:hAnsi="Arial" w:cs="Arial"/>
          <w:sz w:val="24"/>
          <w:szCs w:val="24"/>
        </w:rPr>
        <w:t>,3</w:t>
      </w:r>
      <w:proofErr w:type="gramEnd"/>
    </w:p>
    <w:p w:rsidR="00F412C3" w:rsidRPr="00166E17" w:rsidRDefault="003C423A" w:rsidP="00AD303F">
      <w:pPr>
        <w:spacing w:line="360" w:lineRule="auto"/>
        <w:jc w:val="both"/>
        <w:rPr>
          <w:rFonts w:ascii="Arial" w:hAnsi="Arial" w:cs="Arial"/>
          <w:sz w:val="24"/>
          <w:szCs w:val="24"/>
        </w:rPr>
      </w:pPr>
      <w:r w:rsidRPr="00166E17">
        <w:rPr>
          <w:rFonts w:ascii="Arial" w:hAnsi="Arial" w:cs="Arial"/>
          <w:sz w:val="24"/>
          <w:szCs w:val="24"/>
        </w:rPr>
        <w:t>E</w:t>
      </w:r>
      <w:r w:rsidR="00C279EB" w:rsidRPr="00166E17">
        <w:rPr>
          <w:rFonts w:ascii="Arial" w:hAnsi="Arial" w:cs="Arial"/>
          <w:sz w:val="24"/>
          <w:szCs w:val="24"/>
        </w:rPr>
        <w:t>volutiv</w:t>
      </w:r>
      <w:r w:rsidRPr="00166E17">
        <w:rPr>
          <w:rFonts w:ascii="Arial" w:hAnsi="Arial" w:cs="Arial"/>
          <w:sz w:val="24"/>
          <w:szCs w:val="24"/>
        </w:rPr>
        <w:t>amente</w:t>
      </w:r>
      <w:r w:rsidR="00C279EB" w:rsidRPr="00166E17">
        <w:rPr>
          <w:rFonts w:ascii="Arial" w:hAnsi="Arial" w:cs="Arial"/>
          <w:sz w:val="24"/>
          <w:szCs w:val="24"/>
        </w:rPr>
        <w:t xml:space="preserve"> </w:t>
      </w:r>
      <w:r w:rsidR="009E7D1B" w:rsidRPr="00166E17">
        <w:rPr>
          <w:rFonts w:ascii="Arial" w:hAnsi="Arial" w:cs="Arial"/>
          <w:sz w:val="24"/>
          <w:szCs w:val="24"/>
        </w:rPr>
        <w:t xml:space="preserve">al ser </w:t>
      </w:r>
      <w:r w:rsidR="00C279EB" w:rsidRPr="00166E17">
        <w:rPr>
          <w:rFonts w:ascii="Arial" w:hAnsi="Arial" w:cs="Arial"/>
          <w:sz w:val="24"/>
          <w:szCs w:val="24"/>
        </w:rPr>
        <w:t>las hembras las encargadas de perpetuar la especie</w:t>
      </w:r>
      <w:r w:rsidRPr="00166E17">
        <w:rPr>
          <w:rFonts w:ascii="Arial" w:hAnsi="Arial" w:cs="Arial"/>
          <w:sz w:val="24"/>
          <w:szCs w:val="24"/>
        </w:rPr>
        <w:t>,</w:t>
      </w:r>
      <w:r w:rsidR="00C279EB" w:rsidRPr="00166E17">
        <w:rPr>
          <w:rFonts w:ascii="Arial" w:hAnsi="Arial" w:cs="Arial"/>
          <w:sz w:val="24"/>
          <w:szCs w:val="24"/>
        </w:rPr>
        <w:t xml:space="preserve"> su sistema inmune es más fuerte</w:t>
      </w:r>
      <w:r w:rsidR="00AF1AA3" w:rsidRPr="00166E17">
        <w:rPr>
          <w:rFonts w:ascii="Arial" w:hAnsi="Arial" w:cs="Arial"/>
          <w:sz w:val="24"/>
          <w:szCs w:val="24"/>
        </w:rPr>
        <w:t>, por lo que son más propensas</w:t>
      </w:r>
      <w:r w:rsidR="00C279EB" w:rsidRPr="00166E17">
        <w:rPr>
          <w:rFonts w:ascii="Arial" w:hAnsi="Arial" w:cs="Arial"/>
          <w:sz w:val="24"/>
          <w:szCs w:val="24"/>
        </w:rPr>
        <w:t xml:space="preserve"> a desarrollar enfermedades autoinmunes por la acción de las hormonas sexuales femeninas.</w:t>
      </w:r>
      <w:r w:rsidR="000604F5" w:rsidRPr="00166E17">
        <w:rPr>
          <w:rFonts w:ascii="Arial" w:hAnsi="Arial" w:cs="Arial"/>
          <w:sz w:val="24"/>
          <w:szCs w:val="24"/>
        </w:rPr>
        <w:t xml:space="preserve"> 2,</w:t>
      </w:r>
      <w:r w:rsidR="0099731E" w:rsidRPr="00166E17">
        <w:rPr>
          <w:rFonts w:ascii="Arial" w:hAnsi="Arial" w:cs="Arial"/>
          <w:sz w:val="24"/>
          <w:szCs w:val="24"/>
        </w:rPr>
        <w:t>4</w:t>
      </w:r>
    </w:p>
    <w:p w:rsidR="00F412C3" w:rsidRPr="00166E17" w:rsidRDefault="00AF1AA3" w:rsidP="00AD303F">
      <w:pPr>
        <w:spacing w:line="360" w:lineRule="auto"/>
        <w:jc w:val="both"/>
        <w:rPr>
          <w:rFonts w:ascii="Arial" w:hAnsi="Arial" w:cs="Arial"/>
          <w:sz w:val="24"/>
          <w:szCs w:val="24"/>
        </w:rPr>
      </w:pPr>
      <w:r w:rsidRPr="00166E17">
        <w:rPr>
          <w:rFonts w:ascii="Arial" w:hAnsi="Arial" w:cs="Arial"/>
          <w:sz w:val="24"/>
          <w:szCs w:val="24"/>
        </w:rPr>
        <w:t>S</w:t>
      </w:r>
      <w:r w:rsidR="00C279EB" w:rsidRPr="00166E17">
        <w:rPr>
          <w:rFonts w:ascii="Arial" w:hAnsi="Arial" w:cs="Arial"/>
          <w:sz w:val="24"/>
          <w:szCs w:val="24"/>
        </w:rPr>
        <w:t xml:space="preserve">e ha visto que el estrés puede </w:t>
      </w:r>
      <w:r w:rsidR="009F2998" w:rsidRPr="00166E17">
        <w:rPr>
          <w:rFonts w:ascii="Arial" w:hAnsi="Arial" w:cs="Arial"/>
          <w:sz w:val="24"/>
          <w:szCs w:val="24"/>
        </w:rPr>
        <w:t xml:space="preserve">originar </w:t>
      </w:r>
      <w:r w:rsidR="00C279EB" w:rsidRPr="00166E17">
        <w:rPr>
          <w:rFonts w:ascii="Arial" w:hAnsi="Arial" w:cs="Arial"/>
          <w:sz w:val="24"/>
          <w:szCs w:val="24"/>
        </w:rPr>
        <w:t>enfermedades autoinmunes. La Psiconeuroendocrinoinmunología es una ciencia que explica el rol de estos</w:t>
      </w:r>
      <w:r w:rsidR="00F3264D" w:rsidRPr="00166E17">
        <w:rPr>
          <w:rFonts w:ascii="Arial" w:hAnsi="Arial" w:cs="Arial"/>
          <w:sz w:val="24"/>
          <w:szCs w:val="24"/>
        </w:rPr>
        <w:t xml:space="preserve"> fenómenos</w:t>
      </w:r>
      <w:r w:rsidR="00C279EB" w:rsidRPr="00166E17">
        <w:rPr>
          <w:rFonts w:ascii="Arial" w:hAnsi="Arial" w:cs="Arial"/>
          <w:sz w:val="24"/>
          <w:szCs w:val="24"/>
        </w:rPr>
        <w:t xml:space="preserve"> </w:t>
      </w:r>
      <w:r w:rsidR="00F3264D" w:rsidRPr="00166E17">
        <w:rPr>
          <w:rFonts w:ascii="Arial" w:hAnsi="Arial" w:cs="Arial"/>
          <w:sz w:val="24"/>
          <w:szCs w:val="24"/>
        </w:rPr>
        <w:t xml:space="preserve">en estos </w:t>
      </w:r>
      <w:r w:rsidR="00C279EB" w:rsidRPr="00166E17">
        <w:rPr>
          <w:rFonts w:ascii="Arial" w:hAnsi="Arial" w:cs="Arial"/>
          <w:sz w:val="24"/>
          <w:szCs w:val="24"/>
        </w:rPr>
        <w:t xml:space="preserve">sistemas. </w:t>
      </w:r>
      <w:r w:rsidRPr="00166E17">
        <w:rPr>
          <w:rFonts w:ascii="Arial" w:hAnsi="Arial" w:cs="Arial"/>
          <w:sz w:val="24"/>
          <w:szCs w:val="24"/>
        </w:rPr>
        <w:t>Además, l</w:t>
      </w:r>
      <w:r w:rsidR="00C279EB" w:rsidRPr="00166E17">
        <w:rPr>
          <w:rFonts w:ascii="Arial" w:hAnsi="Arial" w:cs="Arial"/>
          <w:sz w:val="24"/>
          <w:szCs w:val="24"/>
        </w:rPr>
        <w:t xml:space="preserve">as enfermedades infecciosas pueden desencadenar por diferentes mecanismos fallos en la tolerancia </w:t>
      </w:r>
      <w:r w:rsidR="00F3264D" w:rsidRPr="00166E17">
        <w:rPr>
          <w:rFonts w:ascii="Arial" w:hAnsi="Arial" w:cs="Arial"/>
          <w:sz w:val="24"/>
          <w:szCs w:val="24"/>
        </w:rPr>
        <w:t>por</w:t>
      </w:r>
      <w:r w:rsidR="009F2998" w:rsidRPr="00166E17">
        <w:rPr>
          <w:rFonts w:ascii="Arial" w:hAnsi="Arial" w:cs="Arial"/>
          <w:sz w:val="24"/>
          <w:szCs w:val="24"/>
        </w:rPr>
        <w:t xml:space="preserve"> </w:t>
      </w:r>
      <w:r w:rsidR="00C279EB" w:rsidRPr="00166E17">
        <w:rPr>
          <w:rFonts w:ascii="Arial" w:hAnsi="Arial" w:cs="Arial"/>
          <w:sz w:val="24"/>
          <w:szCs w:val="24"/>
        </w:rPr>
        <w:t>apar</w:t>
      </w:r>
      <w:r w:rsidR="009F2998" w:rsidRPr="00166E17">
        <w:rPr>
          <w:rFonts w:ascii="Arial" w:hAnsi="Arial" w:cs="Arial"/>
          <w:sz w:val="24"/>
          <w:szCs w:val="24"/>
        </w:rPr>
        <w:t>ición</w:t>
      </w:r>
      <w:r w:rsidR="00C279EB" w:rsidRPr="00166E17">
        <w:rPr>
          <w:rFonts w:ascii="Arial" w:hAnsi="Arial" w:cs="Arial"/>
          <w:sz w:val="24"/>
          <w:szCs w:val="24"/>
        </w:rPr>
        <w:t xml:space="preserve"> </w:t>
      </w:r>
      <w:r w:rsidR="009F2998" w:rsidRPr="00166E17">
        <w:rPr>
          <w:rFonts w:ascii="Arial" w:hAnsi="Arial" w:cs="Arial"/>
          <w:sz w:val="24"/>
          <w:szCs w:val="24"/>
        </w:rPr>
        <w:t xml:space="preserve">de </w:t>
      </w:r>
      <w:proofErr w:type="spellStart"/>
      <w:r w:rsidR="009F2998" w:rsidRPr="00166E17">
        <w:rPr>
          <w:rFonts w:ascii="Arial" w:hAnsi="Arial" w:cs="Arial"/>
          <w:sz w:val="24"/>
          <w:szCs w:val="24"/>
        </w:rPr>
        <w:t>autorreactividad</w:t>
      </w:r>
      <w:proofErr w:type="spellEnd"/>
      <w:r w:rsidR="00C279EB" w:rsidRPr="00166E17">
        <w:rPr>
          <w:rFonts w:ascii="Arial" w:hAnsi="Arial" w:cs="Arial"/>
          <w:sz w:val="24"/>
          <w:szCs w:val="24"/>
        </w:rPr>
        <w:t>.</w:t>
      </w:r>
      <w:r w:rsidR="00FC4519" w:rsidRPr="00166E17">
        <w:rPr>
          <w:rFonts w:ascii="Arial" w:hAnsi="Arial" w:cs="Arial"/>
          <w:sz w:val="24"/>
          <w:szCs w:val="24"/>
        </w:rPr>
        <w:t xml:space="preserve"> </w:t>
      </w:r>
      <w:r w:rsidR="0099731E" w:rsidRPr="00166E17">
        <w:rPr>
          <w:rFonts w:ascii="Arial" w:hAnsi="Arial" w:cs="Arial"/>
          <w:sz w:val="24"/>
          <w:szCs w:val="24"/>
        </w:rPr>
        <w:t>3</w:t>
      </w:r>
    </w:p>
    <w:p w:rsidR="00C279EB" w:rsidRPr="00166E17" w:rsidRDefault="003E7D0A" w:rsidP="00AD303F">
      <w:pPr>
        <w:spacing w:line="360" w:lineRule="auto"/>
        <w:jc w:val="both"/>
        <w:rPr>
          <w:rFonts w:ascii="Arial" w:hAnsi="Arial" w:cs="Arial"/>
          <w:sz w:val="24"/>
          <w:szCs w:val="24"/>
        </w:rPr>
      </w:pPr>
      <w:r>
        <w:rPr>
          <w:rFonts w:ascii="Arial" w:hAnsi="Arial" w:cs="Arial"/>
          <w:sz w:val="24"/>
          <w:szCs w:val="24"/>
        </w:rPr>
        <w:t>Debido a l</w:t>
      </w:r>
      <w:r w:rsidR="009F2998" w:rsidRPr="00166E17">
        <w:rPr>
          <w:rFonts w:ascii="Arial" w:hAnsi="Arial" w:cs="Arial"/>
          <w:sz w:val="24"/>
          <w:szCs w:val="24"/>
        </w:rPr>
        <w:t>a</w:t>
      </w:r>
      <w:r w:rsidR="00C279EB" w:rsidRPr="00166E17">
        <w:rPr>
          <w:rFonts w:ascii="Arial" w:hAnsi="Arial" w:cs="Arial"/>
          <w:sz w:val="24"/>
          <w:szCs w:val="24"/>
        </w:rPr>
        <w:t xml:space="preserve"> falta </w:t>
      </w:r>
      <w:r>
        <w:rPr>
          <w:rFonts w:ascii="Arial" w:hAnsi="Arial" w:cs="Arial"/>
          <w:sz w:val="24"/>
          <w:szCs w:val="24"/>
        </w:rPr>
        <w:t>de comprensión s</w:t>
      </w:r>
      <w:r w:rsidR="00C279EB" w:rsidRPr="00166E17">
        <w:rPr>
          <w:rFonts w:ascii="Arial" w:hAnsi="Arial" w:cs="Arial"/>
          <w:sz w:val="24"/>
          <w:szCs w:val="24"/>
        </w:rPr>
        <w:t xml:space="preserve">obre </w:t>
      </w:r>
      <w:r w:rsidR="003A2F70" w:rsidRPr="00166E17">
        <w:rPr>
          <w:rFonts w:ascii="Arial" w:hAnsi="Arial" w:cs="Arial"/>
          <w:sz w:val="24"/>
          <w:szCs w:val="24"/>
        </w:rPr>
        <w:t xml:space="preserve">la </w:t>
      </w:r>
      <w:r w:rsidR="00C279EB" w:rsidRPr="00166E17">
        <w:rPr>
          <w:rFonts w:ascii="Arial" w:hAnsi="Arial" w:cs="Arial"/>
          <w:sz w:val="24"/>
          <w:szCs w:val="24"/>
        </w:rPr>
        <w:t>complej</w:t>
      </w:r>
      <w:r w:rsidR="003A2F70" w:rsidRPr="00166E17">
        <w:rPr>
          <w:rFonts w:ascii="Arial" w:hAnsi="Arial" w:cs="Arial"/>
          <w:sz w:val="24"/>
          <w:szCs w:val="24"/>
        </w:rPr>
        <w:t>idad de est</w:t>
      </w:r>
      <w:r>
        <w:rPr>
          <w:rFonts w:ascii="Arial" w:hAnsi="Arial" w:cs="Arial"/>
          <w:sz w:val="24"/>
          <w:szCs w:val="24"/>
        </w:rPr>
        <w:t>os</w:t>
      </w:r>
      <w:r w:rsidR="003A2F70" w:rsidRPr="00166E17">
        <w:rPr>
          <w:rFonts w:ascii="Arial" w:hAnsi="Arial" w:cs="Arial"/>
          <w:sz w:val="24"/>
          <w:szCs w:val="24"/>
        </w:rPr>
        <w:t xml:space="preserve"> tema</w:t>
      </w:r>
      <w:r>
        <w:rPr>
          <w:rFonts w:ascii="Arial" w:hAnsi="Arial" w:cs="Arial"/>
          <w:sz w:val="24"/>
          <w:szCs w:val="24"/>
        </w:rPr>
        <w:t>s</w:t>
      </w:r>
      <w:r w:rsidR="00C279EB" w:rsidRPr="00166E17">
        <w:rPr>
          <w:rFonts w:ascii="Arial" w:hAnsi="Arial" w:cs="Arial"/>
          <w:sz w:val="24"/>
          <w:szCs w:val="24"/>
        </w:rPr>
        <w:t>, se realizó la presente revisión con el objetivo de describir el rol de las hormonas, alimentación,</w:t>
      </w:r>
      <w:r w:rsidR="003A2F70" w:rsidRPr="00166E17">
        <w:rPr>
          <w:rFonts w:ascii="Arial" w:hAnsi="Arial" w:cs="Arial"/>
          <w:sz w:val="24"/>
          <w:szCs w:val="24"/>
        </w:rPr>
        <w:t xml:space="preserve"> estrés</w:t>
      </w:r>
      <w:r w:rsidR="00C279EB" w:rsidRPr="00166E17">
        <w:rPr>
          <w:rFonts w:ascii="Arial" w:hAnsi="Arial" w:cs="Arial"/>
          <w:sz w:val="24"/>
          <w:szCs w:val="24"/>
        </w:rPr>
        <w:t xml:space="preserve"> </w:t>
      </w:r>
      <w:r w:rsidR="003A2F70" w:rsidRPr="00166E17">
        <w:rPr>
          <w:rFonts w:ascii="Arial" w:hAnsi="Arial" w:cs="Arial"/>
          <w:sz w:val="24"/>
          <w:szCs w:val="24"/>
        </w:rPr>
        <w:t xml:space="preserve">y </w:t>
      </w:r>
      <w:r w:rsidR="00C279EB" w:rsidRPr="00166E17">
        <w:rPr>
          <w:rFonts w:ascii="Arial" w:hAnsi="Arial" w:cs="Arial"/>
          <w:sz w:val="24"/>
          <w:szCs w:val="24"/>
        </w:rPr>
        <w:t xml:space="preserve">enfermedades infecciosas en </w:t>
      </w:r>
      <w:r w:rsidR="00F3264D" w:rsidRPr="00166E17">
        <w:rPr>
          <w:rFonts w:ascii="Arial" w:hAnsi="Arial" w:cs="Arial"/>
          <w:sz w:val="24"/>
          <w:szCs w:val="24"/>
        </w:rPr>
        <w:t xml:space="preserve">el desarrollo de </w:t>
      </w:r>
      <w:r w:rsidR="00C279EB" w:rsidRPr="00166E17">
        <w:rPr>
          <w:rFonts w:ascii="Arial" w:hAnsi="Arial" w:cs="Arial"/>
          <w:sz w:val="24"/>
          <w:szCs w:val="24"/>
        </w:rPr>
        <w:t>las enfermedades autoinmunes.</w:t>
      </w:r>
    </w:p>
    <w:p w:rsidR="009F2998" w:rsidRPr="00166E17" w:rsidRDefault="009F2998" w:rsidP="00AD303F">
      <w:pPr>
        <w:spacing w:line="360" w:lineRule="auto"/>
        <w:jc w:val="both"/>
        <w:rPr>
          <w:rFonts w:ascii="Arial" w:hAnsi="Arial" w:cs="Arial"/>
          <w:sz w:val="24"/>
          <w:szCs w:val="24"/>
        </w:rPr>
      </w:pPr>
    </w:p>
    <w:p w:rsidR="00C279EB" w:rsidRPr="00166E17" w:rsidRDefault="00C279EB" w:rsidP="00AD303F">
      <w:pPr>
        <w:spacing w:line="360" w:lineRule="auto"/>
        <w:jc w:val="both"/>
        <w:rPr>
          <w:rFonts w:ascii="Arial" w:hAnsi="Arial" w:cs="Arial"/>
          <w:b/>
          <w:sz w:val="24"/>
          <w:szCs w:val="24"/>
          <w:lang w:val="es-CU"/>
        </w:rPr>
      </w:pPr>
    </w:p>
    <w:p w:rsidR="00C279EB" w:rsidRPr="00166E17" w:rsidRDefault="00C279EB" w:rsidP="00AD303F">
      <w:pPr>
        <w:spacing w:line="360" w:lineRule="auto"/>
        <w:jc w:val="both"/>
        <w:rPr>
          <w:rFonts w:ascii="Arial" w:hAnsi="Arial" w:cs="Arial"/>
          <w:b/>
          <w:sz w:val="24"/>
          <w:szCs w:val="24"/>
        </w:rPr>
      </w:pPr>
    </w:p>
    <w:p w:rsidR="00C279EB" w:rsidRPr="00166E17" w:rsidRDefault="00C279EB" w:rsidP="00AD303F">
      <w:pPr>
        <w:spacing w:line="360" w:lineRule="auto"/>
        <w:jc w:val="both"/>
        <w:rPr>
          <w:rFonts w:ascii="Arial" w:hAnsi="Arial" w:cs="Arial"/>
          <w:b/>
          <w:sz w:val="24"/>
          <w:szCs w:val="24"/>
        </w:rPr>
      </w:pPr>
    </w:p>
    <w:p w:rsidR="00C279EB" w:rsidRPr="00166E17" w:rsidRDefault="00C279EB" w:rsidP="00AD303F">
      <w:pPr>
        <w:spacing w:line="360" w:lineRule="auto"/>
        <w:jc w:val="both"/>
        <w:rPr>
          <w:rFonts w:ascii="Arial" w:hAnsi="Arial" w:cs="Arial"/>
          <w:b/>
          <w:sz w:val="24"/>
          <w:szCs w:val="24"/>
        </w:rPr>
      </w:pPr>
    </w:p>
    <w:p w:rsidR="00C279EB" w:rsidRPr="00166E17" w:rsidRDefault="00C279EB" w:rsidP="00AD303F">
      <w:pPr>
        <w:spacing w:line="360" w:lineRule="auto"/>
        <w:jc w:val="both"/>
        <w:rPr>
          <w:rFonts w:ascii="Arial" w:hAnsi="Arial" w:cs="Arial"/>
          <w:b/>
          <w:sz w:val="24"/>
          <w:szCs w:val="24"/>
        </w:rPr>
      </w:pPr>
    </w:p>
    <w:p w:rsidR="00C279EB" w:rsidRPr="00166E17" w:rsidRDefault="00C279EB" w:rsidP="00AD303F">
      <w:pPr>
        <w:spacing w:line="360" w:lineRule="auto"/>
        <w:jc w:val="both"/>
        <w:rPr>
          <w:rFonts w:ascii="Arial" w:hAnsi="Arial" w:cs="Arial"/>
          <w:b/>
          <w:sz w:val="24"/>
          <w:szCs w:val="24"/>
        </w:rPr>
      </w:pPr>
    </w:p>
    <w:p w:rsidR="00C279EB" w:rsidRPr="00166E17" w:rsidRDefault="00C279EB" w:rsidP="00AD303F">
      <w:pPr>
        <w:spacing w:line="360" w:lineRule="auto"/>
        <w:jc w:val="both"/>
        <w:rPr>
          <w:rFonts w:ascii="Arial" w:hAnsi="Arial" w:cs="Arial"/>
          <w:b/>
          <w:sz w:val="24"/>
          <w:szCs w:val="24"/>
        </w:rPr>
      </w:pPr>
    </w:p>
    <w:p w:rsidR="00C279EB" w:rsidRPr="00166E17" w:rsidRDefault="00C279EB" w:rsidP="00AD303F">
      <w:pPr>
        <w:spacing w:line="360" w:lineRule="auto"/>
        <w:jc w:val="both"/>
        <w:rPr>
          <w:rFonts w:ascii="Arial" w:hAnsi="Arial" w:cs="Arial"/>
          <w:b/>
          <w:sz w:val="24"/>
          <w:szCs w:val="24"/>
        </w:rPr>
      </w:pPr>
    </w:p>
    <w:p w:rsidR="00C279EB" w:rsidRPr="00166E17" w:rsidRDefault="00C279EB" w:rsidP="00AD303F">
      <w:pPr>
        <w:spacing w:line="360" w:lineRule="auto"/>
        <w:jc w:val="both"/>
        <w:rPr>
          <w:rFonts w:ascii="Arial" w:hAnsi="Arial" w:cs="Arial"/>
          <w:b/>
          <w:sz w:val="24"/>
          <w:szCs w:val="24"/>
        </w:rPr>
      </w:pPr>
    </w:p>
    <w:p w:rsidR="00C279EB" w:rsidRPr="00166E17" w:rsidRDefault="00C279EB" w:rsidP="00AD303F">
      <w:pPr>
        <w:spacing w:line="360" w:lineRule="auto"/>
        <w:jc w:val="both"/>
        <w:rPr>
          <w:rFonts w:ascii="Arial" w:hAnsi="Arial" w:cs="Arial"/>
          <w:b/>
          <w:sz w:val="24"/>
          <w:szCs w:val="24"/>
        </w:rPr>
      </w:pPr>
    </w:p>
    <w:p w:rsidR="00C279EB" w:rsidRPr="00166E17" w:rsidRDefault="00C279EB" w:rsidP="00AD303F">
      <w:pPr>
        <w:spacing w:line="360" w:lineRule="auto"/>
        <w:jc w:val="both"/>
        <w:rPr>
          <w:rFonts w:ascii="Arial" w:hAnsi="Arial" w:cs="Arial"/>
          <w:b/>
          <w:sz w:val="24"/>
          <w:szCs w:val="24"/>
        </w:rPr>
      </w:pPr>
      <w:r w:rsidRPr="00166E17">
        <w:rPr>
          <w:rFonts w:ascii="Arial" w:hAnsi="Arial" w:cs="Arial"/>
          <w:b/>
          <w:sz w:val="24"/>
          <w:szCs w:val="24"/>
        </w:rPr>
        <w:lastRenderedPageBreak/>
        <w:t>Desarrollo</w:t>
      </w:r>
    </w:p>
    <w:p w:rsidR="00C279EB" w:rsidRPr="00166E17" w:rsidRDefault="00C279EB" w:rsidP="00AD303F">
      <w:pPr>
        <w:spacing w:line="360" w:lineRule="auto"/>
        <w:jc w:val="both"/>
        <w:rPr>
          <w:rFonts w:ascii="Arial" w:hAnsi="Arial" w:cs="Arial"/>
          <w:b/>
          <w:sz w:val="24"/>
          <w:szCs w:val="24"/>
        </w:rPr>
      </w:pPr>
      <w:r w:rsidRPr="00166E17">
        <w:rPr>
          <w:rFonts w:ascii="Arial" w:hAnsi="Arial" w:cs="Arial"/>
          <w:b/>
          <w:sz w:val="24"/>
          <w:szCs w:val="24"/>
        </w:rPr>
        <w:t xml:space="preserve">Hormonas y autoinmunidad </w:t>
      </w:r>
    </w:p>
    <w:p w:rsidR="00C279EB" w:rsidRPr="00166E17" w:rsidRDefault="00463086" w:rsidP="00AD303F">
      <w:pPr>
        <w:pStyle w:val="Textoindependiente"/>
        <w:spacing w:after="200" w:line="360" w:lineRule="auto"/>
        <w:jc w:val="both"/>
        <w:rPr>
          <w:rFonts w:ascii="Arial" w:hAnsi="Arial" w:cs="Arial"/>
          <w:sz w:val="24"/>
          <w:szCs w:val="24"/>
          <w:lang w:eastAsia="zh-CN"/>
        </w:rPr>
      </w:pPr>
      <w:r w:rsidRPr="00166E17">
        <w:rPr>
          <w:rFonts w:ascii="Arial" w:hAnsi="Arial" w:cs="Arial"/>
          <w:sz w:val="24"/>
          <w:szCs w:val="24"/>
          <w:lang w:eastAsia="zh-CN"/>
        </w:rPr>
        <w:t>¿Por qué las enfermedades autoinmunes son más frecuentes en mujeres que en los hombres</w:t>
      </w:r>
      <w:r w:rsidR="00AF262A" w:rsidRPr="00166E17">
        <w:rPr>
          <w:rFonts w:ascii="Arial" w:hAnsi="Arial" w:cs="Arial"/>
          <w:sz w:val="24"/>
          <w:szCs w:val="24"/>
          <w:lang w:eastAsia="zh-CN"/>
        </w:rPr>
        <w:t>?</w:t>
      </w:r>
      <w:r w:rsidRPr="00166E17">
        <w:rPr>
          <w:rFonts w:ascii="Arial" w:hAnsi="Arial" w:cs="Arial"/>
          <w:sz w:val="24"/>
          <w:szCs w:val="24"/>
          <w:lang w:eastAsia="zh-CN"/>
        </w:rPr>
        <w:t xml:space="preserve"> </w:t>
      </w:r>
      <w:r w:rsidR="00C279EB" w:rsidRPr="00166E17">
        <w:rPr>
          <w:rFonts w:ascii="Arial" w:hAnsi="Arial" w:cs="Arial"/>
          <w:sz w:val="24"/>
          <w:szCs w:val="24"/>
          <w:lang w:eastAsia="zh-CN"/>
        </w:rPr>
        <w:t>Los estrógenos son hormonas considera</w:t>
      </w:r>
      <w:r w:rsidR="00D3322C" w:rsidRPr="00166E17">
        <w:rPr>
          <w:rFonts w:ascii="Arial" w:hAnsi="Arial" w:cs="Arial"/>
          <w:sz w:val="24"/>
          <w:szCs w:val="24"/>
          <w:lang w:eastAsia="zh-CN"/>
        </w:rPr>
        <w:t>das</w:t>
      </w:r>
      <w:r w:rsidR="00C279EB" w:rsidRPr="00166E17">
        <w:rPr>
          <w:rFonts w:ascii="Arial" w:hAnsi="Arial" w:cs="Arial"/>
          <w:sz w:val="24"/>
          <w:szCs w:val="24"/>
          <w:lang w:eastAsia="zh-CN"/>
        </w:rPr>
        <w:t xml:space="preserve"> </w:t>
      </w:r>
      <w:proofErr w:type="spellStart"/>
      <w:r w:rsidR="00C279EB" w:rsidRPr="00166E17">
        <w:rPr>
          <w:rFonts w:ascii="Arial" w:hAnsi="Arial" w:cs="Arial"/>
          <w:sz w:val="24"/>
          <w:szCs w:val="24"/>
          <w:lang w:eastAsia="zh-CN"/>
        </w:rPr>
        <w:t>inmunoestimulantes</w:t>
      </w:r>
      <w:proofErr w:type="spellEnd"/>
      <w:r w:rsidR="00C279EB" w:rsidRPr="00166E17">
        <w:rPr>
          <w:rFonts w:ascii="Arial" w:hAnsi="Arial" w:cs="Arial"/>
          <w:sz w:val="24"/>
          <w:szCs w:val="24"/>
          <w:lang w:eastAsia="zh-CN"/>
        </w:rPr>
        <w:t xml:space="preserve"> mientras que la progesterona y los andrógenos p</w:t>
      </w:r>
      <w:r w:rsidR="00AF262A" w:rsidRPr="00166E17">
        <w:rPr>
          <w:rFonts w:ascii="Arial" w:hAnsi="Arial" w:cs="Arial"/>
          <w:sz w:val="24"/>
          <w:szCs w:val="24"/>
          <w:lang w:eastAsia="zh-CN"/>
        </w:rPr>
        <w:t xml:space="preserve">oseen efectos </w:t>
      </w:r>
      <w:proofErr w:type="spellStart"/>
      <w:r w:rsidR="00AF262A" w:rsidRPr="00166E17">
        <w:rPr>
          <w:rFonts w:ascii="Arial" w:hAnsi="Arial" w:cs="Arial"/>
          <w:sz w:val="24"/>
          <w:szCs w:val="24"/>
          <w:lang w:eastAsia="zh-CN"/>
        </w:rPr>
        <w:t>inmunomoduladores</w:t>
      </w:r>
      <w:proofErr w:type="spellEnd"/>
      <w:r w:rsidR="00C279EB" w:rsidRPr="00166E17">
        <w:rPr>
          <w:rFonts w:ascii="Arial" w:hAnsi="Arial" w:cs="Arial"/>
          <w:sz w:val="24"/>
          <w:szCs w:val="24"/>
          <w:lang w:eastAsia="zh-CN"/>
        </w:rPr>
        <w:t>, debi</w:t>
      </w:r>
      <w:r w:rsidR="00AF262A" w:rsidRPr="00166E17">
        <w:rPr>
          <w:rFonts w:ascii="Arial" w:hAnsi="Arial" w:cs="Arial"/>
          <w:sz w:val="24"/>
          <w:szCs w:val="24"/>
          <w:lang w:eastAsia="zh-CN"/>
        </w:rPr>
        <w:t>do a cambio</w:t>
      </w:r>
      <w:r w:rsidR="00FA739E" w:rsidRPr="00166E17">
        <w:rPr>
          <w:rFonts w:ascii="Arial" w:hAnsi="Arial" w:cs="Arial"/>
          <w:sz w:val="24"/>
          <w:szCs w:val="24"/>
          <w:lang w:eastAsia="zh-CN"/>
        </w:rPr>
        <w:t>s</w:t>
      </w:r>
      <w:r w:rsidR="00AF262A" w:rsidRPr="00166E17">
        <w:rPr>
          <w:rFonts w:ascii="Arial" w:hAnsi="Arial" w:cs="Arial"/>
          <w:sz w:val="24"/>
          <w:szCs w:val="24"/>
          <w:lang w:eastAsia="zh-CN"/>
        </w:rPr>
        <w:t xml:space="preserve"> en </w:t>
      </w:r>
      <w:r w:rsidR="00FA739E" w:rsidRPr="00166E17">
        <w:rPr>
          <w:rFonts w:ascii="Arial" w:hAnsi="Arial" w:cs="Arial"/>
          <w:sz w:val="24"/>
          <w:szCs w:val="24"/>
          <w:lang w:eastAsia="zh-CN"/>
        </w:rPr>
        <w:t>los patrones</w:t>
      </w:r>
      <w:r w:rsidR="00AF262A" w:rsidRPr="00166E17">
        <w:rPr>
          <w:rFonts w:ascii="Arial" w:hAnsi="Arial" w:cs="Arial"/>
          <w:sz w:val="24"/>
          <w:szCs w:val="24"/>
          <w:lang w:eastAsia="zh-CN"/>
        </w:rPr>
        <w:t xml:space="preserve"> Th1/</w:t>
      </w:r>
      <w:r w:rsidR="00C279EB" w:rsidRPr="00166E17">
        <w:rPr>
          <w:rFonts w:ascii="Arial" w:hAnsi="Arial" w:cs="Arial"/>
          <w:sz w:val="24"/>
          <w:szCs w:val="24"/>
          <w:lang w:eastAsia="zh-CN"/>
        </w:rPr>
        <w:t>Th2</w:t>
      </w:r>
      <w:r w:rsidR="00D3322C" w:rsidRPr="00166E17">
        <w:rPr>
          <w:rFonts w:ascii="Arial" w:hAnsi="Arial" w:cs="Arial"/>
          <w:sz w:val="24"/>
          <w:szCs w:val="24"/>
          <w:lang w:eastAsia="zh-CN"/>
        </w:rPr>
        <w:t xml:space="preserve">. </w:t>
      </w:r>
      <w:r w:rsidR="00166E17" w:rsidRPr="00166E17">
        <w:rPr>
          <w:rFonts w:ascii="Arial" w:hAnsi="Arial" w:cs="Arial"/>
          <w:sz w:val="24"/>
          <w:szCs w:val="24"/>
          <w:lang w:eastAsia="zh-CN"/>
        </w:rPr>
        <w:t>5</w:t>
      </w:r>
    </w:p>
    <w:p w:rsidR="00C279EB" w:rsidRPr="00166E17" w:rsidRDefault="00FA739E" w:rsidP="00AD303F">
      <w:pPr>
        <w:spacing w:line="360" w:lineRule="auto"/>
        <w:jc w:val="both"/>
        <w:rPr>
          <w:rFonts w:ascii="Arial" w:hAnsi="Arial" w:cs="Arial"/>
          <w:sz w:val="24"/>
          <w:szCs w:val="24"/>
        </w:rPr>
      </w:pPr>
      <w:r w:rsidRPr="00166E17">
        <w:rPr>
          <w:rFonts w:ascii="Arial" w:hAnsi="Arial" w:cs="Arial"/>
          <w:sz w:val="24"/>
          <w:szCs w:val="24"/>
        </w:rPr>
        <w:t>Su</w:t>
      </w:r>
      <w:r w:rsidR="00472FA1" w:rsidRPr="00166E17">
        <w:rPr>
          <w:rFonts w:ascii="Arial" w:hAnsi="Arial" w:cs="Arial"/>
          <w:sz w:val="24"/>
          <w:szCs w:val="24"/>
        </w:rPr>
        <w:t xml:space="preserve"> papel en la homeostasis celular es complejo y depende del contexto fisiológico. M</w:t>
      </w:r>
      <w:r w:rsidR="00C279EB" w:rsidRPr="00166E17">
        <w:rPr>
          <w:rFonts w:ascii="Arial" w:hAnsi="Arial" w:cs="Arial"/>
          <w:sz w:val="24"/>
          <w:szCs w:val="24"/>
        </w:rPr>
        <w:t>odulan la respuesta inmune</w:t>
      </w:r>
      <w:r w:rsidR="00472FA1" w:rsidRPr="00166E17">
        <w:rPr>
          <w:rFonts w:ascii="Arial" w:hAnsi="Arial" w:cs="Arial"/>
          <w:sz w:val="24"/>
          <w:szCs w:val="24"/>
        </w:rPr>
        <w:t xml:space="preserve">, </w:t>
      </w:r>
      <w:r w:rsidR="00C279EB" w:rsidRPr="00166E17">
        <w:rPr>
          <w:rFonts w:ascii="Arial" w:hAnsi="Arial" w:cs="Arial"/>
          <w:sz w:val="24"/>
          <w:szCs w:val="24"/>
        </w:rPr>
        <w:t>control</w:t>
      </w:r>
      <w:r w:rsidR="00472FA1" w:rsidRPr="00166E17">
        <w:rPr>
          <w:rFonts w:ascii="Arial" w:hAnsi="Arial" w:cs="Arial"/>
          <w:sz w:val="24"/>
          <w:szCs w:val="24"/>
        </w:rPr>
        <w:t>an</w:t>
      </w:r>
      <w:r w:rsidR="00C279EB" w:rsidRPr="00166E17">
        <w:rPr>
          <w:rFonts w:ascii="Arial" w:hAnsi="Arial" w:cs="Arial"/>
          <w:sz w:val="24"/>
          <w:szCs w:val="24"/>
        </w:rPr>
        <w:t xml:space="preserve"> la expresión genética y modifican de la expresión de las proteínas al interactuar con el genoma por vías nucleares y </w:t>
      </w:r>
      <w:proofErr w:type="spellStart"/>
      <w:r w:rsidR="00C279EB" w:rsidRPr="00166E17">
        <w:rPr>
          <w:rFonts w:ascii="Arial" w:hAnsi="Arial" w:cs="Arial"/>
          <w:sz w:val="24"/>
          <w:szCs w:val="24"/>
        </w:rPr>
        <w:t>extranucleares</w:t>
      </w:r>
      <w:proofErr w:type="spellEnd"/>
      <w:r w:rsidR="00C279EB" w:rsidRPr="00166E17">
        <w:rPr>
          <w:rFonts w:ascii="Arial" w:hAnsi="Arial" w:cs="Arial"/>
          <w:sz w:val="24"/>
          <w:szCs w:val="24"/>
        </w:rPr>
        <w:t xml:space="preserve">. Un </w:t>
      </w:r>
      <w:r w:rsidR="00641C0B" w:rsidRPr="00166E17">
        <w:rPr>
          <w:rFonts w:ascii="Arial" w:hAnsi="Arial" w:cs="Arial"/>
          <w:sz w:val="24"/>
          <w:szCs w:val="24"/>
        </w:rPr>
        <w:t>desequilibrio</w:t>
      </w:r>
      <w:r w:rsidR="00C279EB" w:rsidRPr="00166E17">
        <w:rPr>
          <w:rFonts w:ascii="Arial" w:hAnsi="Arial" w:cs="Arial"/>
          <w:sz w:val="24"/>
          <w:szCs w:val="24"/>
        </w:rPr>
        <w:t xml:space="preserve"> en estos mecanismos puede desencadenar enfermedades autoinmunes.</w:t>
      </w:r>
      <w:r w:rsidR="00ED7192" w:rsidRPr="00166E17">
        <w:rPr>
          <w:rFonts w:ascii="Arial" w:hAnsi="Arial" w:cs="Arial"/>
          <w:sz w:val="24"/>
          <w:szCs w:val="24"/>
        </w:rPr>
        <w:t>1,</w:t>
      </w:r>
      <w:r w:rsidR="00166E17" w:rsidRPr="00166E17">
        <w:rPr>
          <w:rFonts w:ascii="Arial" w:hAnsi="Arial" w:cs="Arial"/>
          <w:sz w:val="24"/>
          <w:szCs w:val="24"/>
        </w:rPr>
        <w:t>6</w:t>
      </w:r>
    </w:p>
    <w:p w:rsidR="00C279EB" w:rsidRPr="00166E17" w:rsidRDefault="00CD7A75" w:rsidP="00AD303F">
      <w:pPr>
        <w:pStyle w:val="NormalWeb"/>
        <w:spacing w:before="0" w:after="200" w:line="360" w:lineRule="auto"/>
        <w:jc w:val="both"/>
        <w:rPr>
          <w:rFonts w:ascii="Arial" w:hAnsi="Arial" w:cs="Arial"/>
        </w:rPr>
      </w:pPr>
      <w:r w:rsidRPr="00166E17">
        <w:rPr>
          <w:rFonts w:ascii="Arial" w:hAnsi="Arial" w:cs="Arial"/>
        </w:rPr>
        <w:t>Entonces c</w:t>
      </w:r>
      <w:r w:rsidR="00C279EB" w:rsidRPr="00166E17">
        <w:rPr>
          <w:rFonts w:ascii="Arial" w:hAnsi="Arial" w:cs="Arial"/>
        </w:rPr>
        <w:t>abría preguntarse</w:t>
      </w:r>
      <w:r w:rsidRPr="00166E17">
        <w:rPr>
          <w:rFonts w:ascii="Arial" w:hAnsi="Arial" w:cs="Arial"/>
        </w:rPr>
        <w:t xml:space="preserve"> </w:t>
      </w:r>
      <w:r w:rsidR="00C279EB" w:rsidRPr="00166E17">
        <w:rPr>
          <w:rFonts w:ascii="Arial" w:hAnsi="Arial" w:cs="Arial"/>
        </w:rPr>
        <w:t xml:space="preserve">¿cómo logra la mujer tolerar el feto que es un </w:t>
      </w:r>
      <w:proofErr w:type="spellStart"/>
      <w:r w:rsidR="00C279EB" w:rsidRPr="00166E17">
        <w:rPr>
          <w:rFonts w:ascii="Arial" w:hAnsi="Arial" w:cs="Arial"/>
        </w:rPr>
        <w:t>semialoinjerto</w:t>
      </w:r>
      <w:proofErr w:type="spellEnd"/>
      <w:r w:rsidR="00C279EB" w:rsidRPr="00166E17">
        <w:rPr>
          <w:rFonts w:ascii="Arial" w:hAnsi="Arial" w:cs="Arial"/>
        </w:rPr>
        <w:t xml:space="preserve">? </w:t>
      </w:r>
      <w:r w:rsidR="00604567" w:rsidRPr="00166E17">
        <w:rPr>
          <w:rFonts w:ascii="Arial" w:hAnsi="Arial" w:cs="Arial"/>
        </w:rPr>
        <w:t>S</w:t>
      </w:r>
      <w:r w:rsidR="00C279EB" w:rsidRPr="00166E17">
        <w:rPr>
          <w:rFonts w:ascii="Arial" w:hAnsi="Arial" w:cs="Arial"/>
        </w:rPr>
        <w:t xml:space="preserve">e ha logrado un equilibrio durante la gestación. </w:t>
      </w:r>
      <w:r w:rsidR="00B72F44" w:rsidRPr="00166E17">
        <w:rPr>
          <w:rFonts w:ascii="Arial" w:hAnsi="Arial" w:cs="Arial"/>
        </w:rPr>
        <w:t xml:space="preserve">El </w:t>
      </w:r>
      <w:r w:rsidR="00641C0B" w:rsidRPr="00166E17">
        <w:rPr>
          <w:rFonts w:ascii="Arial" w:hAnsi="Arial" w:cs="Arial"/>
        </w:rPr>
        <w:t xml:space="preserve">predominio del </w:t>
      </w:r>
      <w:r w:rsidR="00B72F44" w:rsidRPr="00166E17">
        <w:rPr>
          <w:rFonts w:ascii="Arial" w:hAnsi="Arial" w:cs="Arial"/>
        </w:rPr>
        <w:t xml:space="preserve">patrón </w:t>
      </w:r>
      <w:r w:rsidR="00641C0B" w:rsidRPr="00166E17">
        <w:rPr>
          <w:rFonts w:ascii="Arial" w:hAnsi="Arial" w:cs="Arial"/>
        </w:rPr>
        <w:t>inflamatorio (</w:t>
      </w:r>
      <w:r w:rsidR="00FA739E" w:rsidRPr="00166E17">
        <w:rPr>
          <w:rFonts w:ascii="Arial" w:hAnsi="Arial" w:cs="Arial"/>
        </w:rPr>
        <w:t>Th1</w:t>
      </w:r>
      <w:r w:rsidR="00641C0B" w:rsidRPr="00166E17">
        <w:rPr>
          <w:rFonts w:ascii="Arial" w:hAnsi="Arial" w:cs="Arial"/>
        </w:rPr>
        <w:t>)</w:t>
      </w:r>
      <w:r w:rsidR="00B72F44" w:rsidRPr="00166E17">
        <w:rPr>
          <w:rFonts w:ascii="Arial" w:hAnsi="Arial" w:cs="Arial"/>
        </w:rPr>
        <w:t xml:space="preserve"> </w:t>
      </w:r>
      <w:r w:rsidR="00641C0B" w:rsidRPr="00166E17">
        <w:rPr>
          <w:rFonts w:ascii="Arial" w:hAnsi="Arial" w:cs="Arial"/>
        </w:rPr>
        <w:t xml:space="preserve">es necesario </w:t>
      </w:r>
      <w:r w:rsidR="00B72F44" w:rsidRPr="00166E17">
        <w:rPr>
          <w:rFonts w:ascii="Arial" w:hAnsi="Arial" w:cs="Arial"/>
        </w:rPr>
        <w:t>durante la fecundación, la implantación,</w:t>
      </w:r>
      <w:r w:rsidR="00FA739E" w:rsidRPr="00166E17">
        <w:rPr>
          <w:rFonts w:ascii="Arial" w:hAnsi="Arial" w:cs="Arial"/>
        </w:rPr>
        <w:t xml:space="preserve"> que retorna cerca del tercer trimestre</w:t>
      </w:r>
      <w:r w:rsidR="008124D7" w:rsidRPr="00166E17">
        <w:rPr>
          <w:rFonts w:ascii="Arial" w:hAnsi="Arial" w:cs="Arial"/>
        </w:rPr>
        <w:t xml:space="preserve"> para el parto</w:t>
      </w:r>
      <w:r w:rsidR="00C279EB" w:rsidRPr="00166E17">
        <w:rPr>
          <w:rFonts w:ascii="Arial" w:hAnsi="Arial" w:cs="Arial"/>
        </w:rPr>
        <w:t xml:space="preserve">. </w:t>
      </w:r>
      <w:r w:rsidR="00604567" w:rsidRPr="00166E17">
        <w:rPr>
          <w:rFonts w:ascii="Arial" w:hAnsi="Arial" w:cs="Arial"/>
        </w:rPr>
        <w:t>L</w:t>
      </w:r>
      <w:r w:rsidR="00C279EB" w:rsidRPr="00166E17">
        <w:rPr>
          <w:rFonts w:ascii="Arial" w:hAnsi="Arial" w:cs="Arial"/>
        </w:rPr>
        <w:t xml:space="preserve">a respuesta Th2 reguladora </w:t>
      </w:r>
      <w:r w:rsidR="00231671" w:rsidRPr="00166E17">
        <w:rPr>
          <w:rFonts w:ascii="Arial" w:hAnsi="Arial" w:cs="Arial"/>
        </w:rPr>
        <w:t xml:space="preserve">predomina durante el </w:t>
      </w:r>
      <w:r w:rsidR="00FA739E" w:rsidRPr="00166E17">
        <w:rPr>
          <w:rFonts w:ascii="Arial" w:hAnsi="Arial" w:cs="Arial"/>
        </w:rPr>
        <w:t xml:space="preserve">resto del </w:t>
      </w:r>
      <w:r w:rsidR="00231671" w:rsidRPr="00166E17">
        <w:rPr>
          <w:rFonts w:ascii="Arial" w:hAnsi="Arial" w:cs="Arial"/>
        </w:rPr>
        <w:t>embarazo</w:t>
      </w:r>
      <w:r w:rsidR="00C279EB" w:rsidRPr="00166E17">
        <w:rPr>
          <w:rFonts w:ascii="Arial" w:hAnsi="Arial" w:cs="Arial"/>
        </w:rPr>
        <w:t xml:space="preserve">. Cambios en este balance se asocian </w:t>
      </w:r>
      <w:r w:rsidR="008124D7" w:rsidRPr="00166E17">
        <w:rPr>
          <w:rFonts w:ascii="Arial" w:hAnsi="Arial" w:cs="Arial"/>
        </w:rPr>
        <w:t>con</w:t>
      </w:r>
      <w:r w:rsidR="00C279EB" w:rsidRPr="00166E17">
        <w:rPr>
          <w:rFonts w:ascii="Arial" w:hAnsi="Arial" w:cs="Arial"/>
        </w:rPr>
        <w:t xml:space="preserve"> </w:t>
      </w:r>
      <w:r w:rsidR="008124D7" w:rsidRPr="00166E17">
        <w:rPr>
          <w:rFonts w:ascii="Arial" w:hAnsi="Arial" w:cs="Arial"/>
        </w:rPr>
        <w:t xml:space="preserve">problemas de implantación, abortos recurrentes, partos </w:t>
      </w:r>
      <w:proofErr w:type="spellStart"/>
      <w:r w:rsidR="008124D7" w:rsidRPr="00166E17">
        <w:rPr>
          <w:rFonts w:ascii="Arial" w:hAnsi="Arial" w:cs="Arial"/>
        </w:rPr>
        <w:t>pretérminos</w:t>
      </w:r>
      <w:proofErr w:type="spellEnd"/>
      <w:r w:rsidR="008124D7" w:rsidRPr="00166E17">
        <w:rPr>
          <w:rFonts w:ascii="Arial" w:hAnsi="Arial" w:cs="Arial"/>
        </w:rPr>
        <w:t xml:space="preserve"> e infertilidad</w:t>
      </w:r>
      <w:r w:rsidR="00311C7E" w:rsidRPr="00166E17">
        <w:rPr>
          <w:rFonts w:ascii="Arial" w:hAnsi="Arial" w:cs="Arial"/>
        </w:rPr>
        <w:t xml:space="preserve">. </w:t>
      </w:r>
      <w:r w:rsidR="00166E17" w:rsidRPr="00166E17">
        <w:rPr>
          <w:rFonts w:ascii="Arial" w:hAnsi="Arial" w:cs="Arial"/>
        </w:rPr>
        <w:t>5</w:t>
      </w:r>
    </w:p>
    <w:p w:rsidR="00C279EB" w:rsidRPr="00166E17" w:rsidRDefault="00C279EB" w:rsidP="00AD303F">
      <w:pPr>
        <w:spacing w:line="360" w:lineRule="auto"/>
        <w:jc w:val="both"/>
        <w:rPr>
          <w:rFonts w:ascii="Arial" w:hAnsi="Arial" w:cs="Arial"/>
          <w:b/>
          <w:sz w:val="24"/>
          <w:szCs w:val="24"/>
        </w:rPr>
      </w:pPr>
      <w:r w:rsidRPr="00166E17">
        <w:rPr>
          <w:rFonts w:ascii="Arial" w:hAnsi="Arial" w:cs="Arial"/>
          <w:b/>
          <w:sz w:val="24"/>
          <w:szCs w:val="24"/>
        </w:rPr>
        <w:t>Alimentación y autoinmunidad</w:t>
      </w:r>
    </w:p>
    <w:p w:rsidR="00F412C3" w:rsidRPr="00166E17" w:rsidRDefault="005247E8" w:rsidP="00AD303F">
      <w:pPr>
        <w:spacing w:line="360" w:lineRule="auto"/>
        <w:jc w:val="both"/>
        <w:rPr>
          <w:rFonts w:ascii="Arial" w:hAnsi="Arial" w:cs="Arial"/>
          <w:sz w:val="24"/>
          <w:szCs w:val="24"/>
        </w:rPr>
      </w:pPr>
      <w:r w:rsidRPr="00166E17">
        <w:rPr>
          <w:rFonts w:ascii="Arial" w:hAnsi="Arial" w:cs="Arial"/>
          <w:sz w:val="24"/>
          <w:szCs w:val="24"/>
        </w:rPr>
        <w:t>E</w:t>
      </w:r>
      <w:r w:rsidR="00C279EB" w:rsidRPr="00166E17">
        <w:rPr>
          <w:rFonts w:ascii="Arial" w:hAnsi="Arial" w:cs="Arial"/>
          <w:sz w:val="24"/>
          <w:szCs w:val="24"/>
        </w:rPr>
        <w:t xml:space="preserve">s uno de los temas </w:t>
      </w:r>
      <w:r w:rsidRPr="00166E17">
        <w:rPr>
          <w:rFonts w:ascii="Arial" w:hAnsi="Arial" w:cs="Arial"/>
          <w:sz w:val="24"/>
          <w:szCs w:val="24"/>
        </w:rPr>
        <w:t xml:space="preserve">actualmente </w:t>
      </w:r>
      <w:r w:rsidR="00C279EB" w:rsidRPr="00166E17">
        <w:rPr>
          <w:rFonts w:ascii="Arial" w:hAnsi="Arial" w:cs="Arial"/>
          <w:sz w:val="24"/>
          <w:szCs w:val="24"/>
        </w:rPr>
        <w:t>más estudiados y del que aún restan muchos enigmas por dilucidar.</w:t>
      </w:r>
      <w:r w:rsidR="00D03F72" w:rsidRPr="00166E17">
        <w:rPr>
          <w:rFonts w:ascii="Arial" w:hAnsi="Arial" w:cs="Arial"/>
          <w:sz w:val="24"/>
          <w:szCs w:val="24"/>
        </w:rPr>
        <w:t xml:space="preserve"> </w:t>
      </w:r>
      <w:r w:rsidR="00C279EB" w:rsidRPr="00166E17">
        <w:rPr>
          <w:rFonts w:ascii="Arial" w:hAnsi="Arial" w:cs="Arial"/>
          <w:sz w:val="24"/>
          <w:szCs w:val="24"/>
        </w:rPr>
        <w:t xml:space="preserve">Las alteraciones en la alimentación provocan cambios en el </w:t>
      </w:r>
      <w:proofErr w:type="spellStart"/>
      <w:r w:rsidR="00C279EB" w:rsidRPr="00166E17">
        <w:rPr>
          <w:rFonts w:ascii="Arial" w:hAnsi="Arial" w:cs="Arial"/>
          <w:sz w:val="24"/>
          <w:szCs w:val="24"/>
        </w:rPr>
        <w:t>microbio</w:t>
      </w:r>
      <w:r w:rsidR="00641C0B" w:rsidRPr="00166E17">
        <w:rPr>
          <w:rFonts w:ascii="Arial" w:hAnsi="Arial" w:cs="Arial"/>
          <w:sz w:val="24"/>
          <w:szCs w:val="24"/>
        </w:rPr>
        <w:t>ma</w:t>
      </w:r>
      <w:proofErr w:type="spellEnd"/>
      <w:r w:rsidR="00C279EB" w:rsidRPr="00166E17">
        <w:rPr>
          <w:rFonts w:ascii="Arial" w:hAnsi="Arial" w:cs="Arial"/>
          <w:sz w:val="24"/>
          <w:szCs w:val="24"/>
        </w:rPr>
        <w:t xml:space="preserve"> intestinal </w:t>
      </w:r>
      <w:r w:rsidR="00641C0B" w:rsidRPr="00166E17">
        <w:rPr>
          <w:rFonts w:ascii="Arial" w:hAnsi="Arial" w:cs="Arial"/>
          <w:sz w:val="24"/>
          <w:szCs w:val="24"/>
        </w:rPr>
        <w:t xml:space="preserve">y </w:t>
      </w:r>
      <w:r w:rsidR="00C279EB" w:rsidRPr="00166E17">
        <w:rPr>
          <w:rFonts w:ascii="Arial" w:hAnsi="Arial" w:cs="Arial"/>
          <w:sz w:val="24"/>
          <w:szCs w:val="24"/>
        </w:rPr>
        <w:t xml:space="preserve">se asocian a enfermedades autoinmunes y trastornos inflamatorios. Las dietas </w:t>
      </w:r>
      <w:r w:rsidR="00D03F72" w:rsidRPr="00166E17">
        <w:rPr>
          <w:rFonts w:ascii="Arial" w:hAnsi="Arial" w:cs="Arial"/>
          <w:sz w:val="24"/>
          <w:szCs w:val="24"/>
        </w:rPr>
        <w:t>a</w:t>
      </w:r>
      <w:r w:rsidR="00C279EB" w:rsidRPr="00166E17">
        <w:rPr>
          <w:rFonts w:ascii="Arial" w:hAnsi="Arial" w:cs="Arial"/>
          <w:sz w:val="24"/>
          <w:szCs w:val="24"/>
        </w:rPr>
        <w:t xml:space="preserve"> predominio de ácidos grasos saturados promueven la respuesta Th1</w:t>
      </w:r>
      <w:r w:rsidR="00D03F72" w:rsidRPr="00166E17">
        <w:rPr>
          <w:rFonts w:ascii="Arial" w:hAnsi="Arial" w:cs="Arial"/>
          <w:sz w:val="24"/>
          <w:szCs w:val="24"/>
        </w:rPr>
        <w:t>-</w:t>
      </w:r>
      <w:r w:rsidR="00C279EB" w:rsidRPr="00166E17">
        <w:rPr>
          <w:rFonts w:ascii="Arial" w:hAnsi="Arial" w:cs="Arial"/>
          <w:sz w:val="24"/>
          <w:szCs w:val="24"/>
        </w:rPr>
        <w:t>Th17</w:t>
      </w:r>
      <w:r w:rsidR="00D03F72" w:rsidRPr="00166E17">
        <w:rPr>
          <w:rFonts w:ascii="Arial" w:hAnsi="Arial" w:cs="Arial"/>
          <w:sz w:val="24"/>
          <w:szCs w:val="24"/>
        </w:rPr>
        <w:t xml:space="preserve"> y</w:t>
      </w:r>
      <w:r w:rsidR="00C279EB" w:rsidRPr="00166E17">
        <w:rPr>
          <w:rFonts w:ascii="Arial" w:hAnsi="Arial" w:cs="Arial"/>
          <w:sz w:val="24"/>
          <w:szCs w:val="24"/>
        </w:rPr>
        <w:t xml:space="preserve"> activan el </w:t>
      </w:r>
      <w:proofErr w:type="spellStart"/>
      <w:r w:rsidR="00C279EB" w:rsidRPr="00166E17">
        <w:rPr>
          <w:rFonts w:ascii="Arial" w:hAnsi="Arial" w:cs="Arial"/>
          <w:sz w:val="24"/>
          <w:szCs w:val="24"/>
        </w:rPr>
        <w:t>inflamasoma</w:t>
      </w:r>
      <w:proofErr w:type="spellEnd"/>
      <w:r w:rsidR="00D03F72" w:rsidRPr="00166E17">
        <w:rPr>
          <w:rFonts w:ascii="Arial" w:hAnsi="Arial" w:cs="Arial"/>
          <w:sz w:val="24"/>
          <w:szCs w:val="24"/>
        </w:rPr>
        <w:t>,</w:t>
      </w:r>
      <w:r w:rsidR="00C279EB" w:rsidRPr="00166E17">
        <w:rPr>
          <w:rFonts w:ascii="Arial" w:hAnsi="Arial" w:cs="Arial"/>
          <w:sz w:val="24"/>
          <w:szCs w:val="24"/>
        </w:rPr>
        <w:t xml:space="preserve"> lo que puede inducir lesiones tisulares. Mientras que la ingestión de ácidos grasos no saturados </w:t>
      </w:r>
      <w:r w:rsidR="00391675" w:rsidRPr="00166E17">
        <w:rPr>
          <w:rFonts w:ascii="Arial" w:hAnsi="Arial" w:cs="Arial"/>
          <w:sz w:val="24"/>
          <w:szCs w:val="24"/>
        </w:rPr>
        <w:t>inhibe las sustancias antes mencionadas</w:t>
      </w:r>
      <w:r w:rsidR="00C279EB" w:rsidRPr="00166E17">
        <w:rPr>
          <w:rFonts w:ascii="Arial" w:hAnsi="Arial" w:cs="Arial"/>
          <w:sz w:val="24"/>
          <w:szCs w:val="24"/>
        </w:rPr>
        <w:t xml:space="preserve">. </w:t>
      </w:r>
      <w:r w:rsidR="00D03F72" w:rsidRPr="00166E17">
        <w:rPr>
          <w:rFonts w:ascii="Arial" w:hAnsi="Arial" w:cs="Arial"/>
          <w:sz w:val="24"/>
          <w:szCs w:val="24"/>
        </w:rPr>
        <w:t xml:space="preserve">Los mecanismos que causan estas alteraciones no se comprenden del todo. </w:t>
      </w:r>
      <w:r w:rsidR="00166E17" w:rsidRPr="00166E17">
        <w:rPr>
          <w:rFonts w:ascii="Arial" w:hAnsi="Arial" w:cs="Arial"/>
          <w:sz w:val="24"/>
          <w:szCs w:val="24"/>
        </w:rPr>
        <w:t>7</w:t>
      </w:r>
    </w:p>
    <w:p w:rsidR="00C279EB" w:rsidRPr="00166E17" w:rsidRDefault="00C279EB" w:rsidP="00AD303F">
      <w:pPr>
        <w:spacing w:line="360" w:lineRule="auto"/>
        <w:jc w:val="both"/>
        <w:rPr>
          <w:rFonts w:ascii="Arial" w:hAnsi="Arial" w:cs="Arial"/>
          <w:iCs/>
          <w:sz w:val="24"/>
          <w:szCs w:val="24"/>
        </w:rPr>
      </w:pPr>
      <w:r w:rsidRPr="00166E17">
        <w:rPr>
          <w:rFonts w:ascii="Arial" w:hAnsi="Arial" w:cs="Arial"/>
          <w:sz w:val="24"/>
          <w:szCs w:val="24"/>
        </w:rPr>
        <w:t>En la diabetes mellitus tipo 1 se ha relacionado la producción de autoanticuerpos contra los islotes pancreáticos con la exposición a químicos tóxicos, el consumo de leche vacuna en la infancia</w:t>
      </w:r>
      <w:r w:rsidR="00391675" w:rsidRPr="00166E17">
        <w:rPr>
          <w:rFonts w:ascii="Arial" w:hAnsi="Arial" w:cs="Arial"/>
          <w:sz w:val="24"/>
          <w:szCs w:val="24"/>
        </w:rPr>
        <w:t xml:space="preserve"> y</w:t>
      </w:r>
      <w:r w:rsidRPr="00166E17">
        <w:rPr>
          <w:rFonts w:ascii="Arial" w:hAnsi="Arial" w:cs="Arial"/>
          <w:sz w:val="24"/>
          <w:szCs w:val="24"/>
        </w:rPr>
        <w:t xml:space="preserve"> la disminución de bacterias comensales de la microbiota gástrica como </w:t>
      </w:r>
      <w:proofErr w:type="spellStart"/>
      <w:r w:rsidRPr="00166E17">
        <w:rPr>
          <w:rStyle w:val="nfasis"/>
          <w:rFonts w:ascii="Arial" w:hAnsi="Arial" w:cs="Arial"/>
          <w:sz w:val="24"/>
          <w:szCs w:val="24"/>
        </w:rPr>
        <w:t>Bifidobacterium</w:t>
      </w:r>
      <w:proofErr w:type="spellEnd"/>
      <w:r w:rsidRPr="00166E17">
        <w:rPr>
          <w:rFonts w:ascii="Arial" w:hAnsi="Arial" w:cs="Arial"/>
          <w:i/>
          <w:iCs/>
          <w:sz w:val="24"/>
          <w:szCs w:val="24"/>
        </w:rPr>
        <w:t xml:space="preserve">. </w:t>
      </w:r>
      <w:r w:rsidR="00166E17" w:rsidRPr="00166E17">
        <w:rPr>
          <w:rFonts w:ascii="Arial" w:hAnsi="Arial" w:cs="Arial"/>
          <w:i/>
          <w:iCs/>
          <w:sz w:val="24"/>
          <w:szCs w:val="24"/>
        </w:rPr>
        <w:t>7</w:t>
      </w:r>
      <w:r w:rsidR="000604F5" w:rsidRPr="00166E17">
        <w:rPr>
          <w:rFonts w:ascii="Arial" w:hAnsi="Arial" w:cs="Arial"/>
          <w:i/>
          <w:iCs/>
          <w:sz w:val="24"/>
          <w:szCs w:val="24"/>
        </w:rPr>
        <w:t>,</w:t>
      </w:r>
      <w:r w:rsidR="00166E17" w:rsidRPr="00166E17">
        <w:rPr>
          <w:rFonts w:ascii="Arial" w:hAnsi="Arial" w:cs="Arial"/>
          <w:iCs/>
          <w:sz w:val="24"/>
          <w:szCs w:val="24"/>
        </w:rPr>
        <w:t>8</w:t>
      </w:r>
    </w:p>
    <w:p w:rsidR="00F412C3" w:rsidRPr="00166E17" w:rsidRDefault="00C279EB" w:rsidP="00AD303F">
      <w:pPr>
        <w:spacing w:line="360" w:lineRule="auto"/>
        <w:jc w:val="both"/>
        <w:rPr>
          <w:rFonts w:ascii="Arial" w:hAnsi="Arial" w:cs="Arial"/>
          <w:iCs/>
          <w:sz w:val="24"/>
          <w:szCs w:val="24"/>
        </w:rPr>
      </w:pPr>
      <w:r w:rsidRPr="00166E17">
        <w:rPr>
          <w:rFonts w:ascii="Arial" w:hAnsi="Arial" w:cs="Arial"/>
          <w:iCs/>
          <w:sz w:val="24"/>
          <w:szCs w:val="24"/>
        </w:rPr>
        <w:t xml:space="preserve">Un </w:t>
      </w:r>
      <w:proofErr w:type="spellStart"/>
      <w:r w:rsidRPr="00166E17">
        <w:rPr>
          <w:rFonts w:ascii="Arial" w:hAnsi="Arial" w:cs="Arial"/>
          <w:iCs/>
          <w:sz w:val="24"/>
          <w:szCs w:val="24"/>
        </w:rPr>
        <w:t>disbalance</w:t>
      </w:r>
      <w:proofErr w:type="spellEnd"/>
      <w:r w:rsidRPr="00166E17">
        <w:rPr>
          <w:rFonts w:ascii="Arial" w:hAnsi="Arial" w:cs="Arial"/>
          <w:iCs/>
          <w:sz w:val="24"/>
          <w:szCs w:val="24"/>
        </w:rPr>
        <w:t xml:space="preserve"> d</w:t>
      </w:r>
      <w:r w:rsidRPr="00166E17">
        <w:rPr>
          <w:rFonts w:ascii="Arial" w:hAnsi="Arial" w:cs="Arial"/>
          <w:sz w:val="24"/>
          <w:szCs w:val="24"/>
        </w:rPr>
        <w:t>e los</w:t>
      </w:r>
      <w:r w:rsidRPr="00166E17">
        <w:rPr>
          <w:rFonts w:ascii="Arial" w:hAnsi="Arial" w:cs="Arial"/>
          <w:iCs/>
          <w:sz w:val="24"/>
          <w:szCs w:val="24"/>
        </w:rPr>
        <w:t xml:space="preserve"> gérmenes anaeróbicos intestinales se asocia a estímulos para la proliferación de linfocitos Th17 en la enfermedad inflamatoria del colon, mientras que la presencia de las especies comensales facilita el desarrollo de linfocitos T reguladores y producción de Il-10. En patologías neuroinflamatorias autoinmunes, la </w:t>
      </w:r>
      <w:proofErr w:type="spellStart"/>
      <w:r w:rsidRPr="00166E17">
        <w:rPr>
          <w:rFonts w:ascii="Arial" w:hAnsi="Arial" w:cs="Arial"/>
          <w:iCs/>
          <w:sz w:val="24"/>
          <w:szCs w:val="24"/>
        </w:rPr>
        <w:t>disbiosis</w:t>
      </w:r>
      <w:proofErr w:type="spellEnd"/>
      <w:r w:rsidRPr="00166E17">
        <w:rPr>
          <w:rFonts w:ascii="Arial" w:hAnsi="Arial" w:cs="Arial"/>
          <w:iCs/>
          <w:sz w:val="24"/>
          <w:szCs w:val="24"/>
        </w:rPr>
        <w:t xml:space="preserve"> de la microbiota puede incrementar producción de linfocitos autorreactivos.</w:t>
      </w:r>
      <w:r w:rsidR="00166E17" w:rsidRPr="00166E17">
        <w:rPr>
          <w:rFonts w:ascii="Arial" w:hAnsi="Arial" w:cs="Arial"/>
          <w:iCs/>
          <w:sz w:val="24"/>
          <w:szCs w:val="24"/>
        </w:rPr>
        <w:t>7</w:t>
      </w:r>
    </w:p>
    <w:p w:rsidR="00F412C3" w:rsidRPr="00166E17" w:rsidRDefault="00C279EB" w:rsidP="00AD303F">
      <w:pPr>
        <w:spacing w:line="360" w:lineRule="auto"/>
        <w:jc w:val="both"/>
        <w:rPr>
          <w:rFonts w:ascii="Arial" w:eastAsia="TimesNewRomanPSMT" w:hAnsi="Arial" w:cs="Arial"/>
          <w:sz w:val="24"/>
          <w:szCs w:val="24"/>
        </w:rPr>
      </w:pPr>
      <w:r w:rsidRPr="00166E17">
        <w:rPr>
          <w:rFonts w:ascii="Arial" w:hAnsi="Arial" w:cs="Arial"/>
          <w:sz w:val="24"/>
          <w:szCs w:val="24"/>
        </w:rPr>
        <w:lastRenderedPageBreak/>
        <w:t xml:space="preserve">El glutamato monosódico (GMS), sal </w:t>
      </w:r>
      <w:proofErr w:type="spellStart"/>
      <w:r w:rsidRPr="00166E17">
        <w:rPr>
          <w:rFonts w:ascii="Arial" w:hAnsi="Arial" w:cs="Arial"/>
          <w:sz w:val="24"/>
          <w:szCs w:val="24"/>
        </w:rPr>
        <w:t>monosódica</w:t>
      </w:r>
      <w:proofErr w:type="spellEnd"/>
      <w:r w:rsidRPr="00166E17">
        <w:rPr>
          <w:rFonts w:ascii="Arial" w:hAnsi="Arial" w:cs="Arial"/>
          <w:sz w:val="24"/>
          <w:szCs w:val="24"/>
        </w:rPr>
        <w:t xml:space="preserve"> del ácido glutámico </w:t>
      </w:r>
      <w:r w:rsidR="003E7D0A">
        <w:rPr>
          <w:rFonts w:ascii="Arial" w:hAnsi="Arial" w:cs="Arial"/>
          <w:sz w:val="24"/>
          <w:szCs w:val="24"/>
        </w:rPr>
        <w:t>se usa para</w:t>
      </w:r>
      <w:r w:rsidRPr="00166E17">
        <w:rPr>
          <w:rFonts w:ascii="Arial" w:hAnsi="Arial" w:cs="Arial"/>
          <w:sz w:val="24"/>
          <w:szCs w:val="24"/>
        </w:rPr>
        <w:t xml:space="preserve"> potenciar del sabor de los alimentos. E</w:t>
      </w:r>
      <w:r w:rsidRPr="00166E17">
        <w:rPr>
          <w:rFonts w:ascii="Arial" w:eastAsia="TimesNewRomanPSMT" w:hAnsi="Arial" w:cs="Arial"/>
          <w:sz w:val="24"/>
          <w:szCs w:val="24"/>
        </w:rPr>
        <w:t xml:space="preserve">xisten evidencias que al aumentar </w:t>
      </w:r>
      <w:r w:rsidR="00132BF3" w:rsidRPr="00166E17">
        <w:rPr>
          <w:rFonts w:ascii="Arial" w:eastAsia="TimesNewRomanPSMT" w:hAnsi="Arial" w:cs="Arial"/>
          <w:sz w:val="24"/>
          <w:szCs w:val="24"/>
        </w:rPr>
        <w:t xml:space="preserve">su </w:t>
      </w:r>
      <w:r w:rsidRPr="00166E17">
        <w:rPr>
          <w:rFonts w:ascii="Arial" w:eastAsia="TimesNewRomanPSMT" w:hAnsi="Arial" w:cs="Arial"/>
          <w:sz w:val="24"/>
          <w:szCs w:val="24"/>
        </w:rPr>
        <w:t xml:space="preserve">concentración </w:t>
      </w:r>
      <w:proofErr w:type="spellStart"/>
      <w:r w:rsidRPr="00166E17">
        <w:rPr>
          <w:rFonts w:ascii="Arial" w:eastAsia="TimesNewRomanPSMT" w:hAnsi="Arial" w:cs="Arial"/>
          <w:sz w:val="24"/>
          <w:szCs w:val="24"/>
        </w:rPr>
        <w:t>intracerebral</w:t>
      </w:r>
      <w:proofErr w:type="spellEnd"/>
      <w:r w:rsidR="00132BF3" w:rsidRPr="00166E17">
        <w:rPr>
          <w:rFonts w:ascii="Arial" w:eastAsia="TimesNewRomanPSMT" w:hAnsi="Arial" w:cs="Arial"/>
          <w:sz w:val="24"/>
          <w:szCs w:val="24"/>
        </w:rPr>
        <w:t>,</w:t>
      </w:r>
      <w:r w:rsidRPr="00166E17">
        <w:rPr>
          <w:rFonts w:ascii="Arial" w:eastAsia="TimesNewRomanPSMT" w:hAnsi="Arial" w:cs="Arial"/>
          <w:sz w:val="24"/>
          <w:szCs w:val="24"/>
        </w:rPr>
        <w:t xml:space="preserve"> se incrementan los niveles de </w:t>
      </w:r>
      <w:r w:rsidRPr="00166E17">
        <w:rPr>
          <w:rFonts w:ascii="Arial" w:eastAsia="TimesNewRomanPSMT" w:hAnsi="Arial" w:cs="Arial"/>
          <w:color w:val="000000"/>
          <w:sz w:val="24"/>
          <w:szCs w:val="24"/>
        </w:rPr>
        <w:t>citoquinas</w:t>
      </w:r>
      <w:r w:rsidRPr="00166E17">
        <w:rPr>
          <w:rFonts w:ascii="Arial" w:eastAsia="TimesNewRomanPSMT" w:hAnsi="Arial" w:cs="Arial"/>
          <w:sz w:val="24"/>
          <w:szCs w:val="24"/>
        </w:rPr>
        <w:t xml:space="preserve"> proinflamatorias. Esto se ha comprobado en lesiones cerebrales traumáticas, enfermedades neurodegenerativas e infecciones del sistema nervioso central</w:t>
      </w:r>
      <w:r w:rsidR="00132BF3" w:rsidRPr="00166E17">
        <w:rPr>
          <w:rFonts w:ascii="Arial" w:eastAsia="TimesNewRomanPSMT" w:hAnsi="Arial" w:cs="Arial"/>
          <w:sz w:val="24"/>
          <w:szCs w:val="24"/>
        </w:rPr>
        <w:t>.</w:t>
      </w:r>
      <w:r w:rsidRPr="00166E17">
        <w:rPr>
          <w:rFonts w:ascii="Arial" w:eastAsia="TimesNewRomanPSMT" w:hAnsi="Arial" w:cs="Arial"/>
          <w:sz w:val="24"/>
          <w:szCs w:val="24"/>
        </w:rPr>
        <w:t xml:space="preserve"> No obstante, el mecanismo causal aún no se ha dilucidado del todo.</w:t>
      </w:r>
      <w:r w:rsidR="00166E17" w:rsidRPr="00166E17">
        <w:rPr>
          <w:rFonts w:ascii="Arial" w:eastAsia="TimesNewRomanPSMT" w:hAnsi="Arial" w:cs="Arial"/>
          <w:sz w:val="24"/>
          <w:szCs w:val="24"/>
        </w:rPr>
        <w:t>9</w:t>
      </w:r>
    </w:p>
    <w:p w:rsidR="00C279EB" w:rsidRPr="00166E17" w:rsidRDefault="00AD303F" w:rsidP="00AD303F">
      <w:pPr>
        <w:spacing w:line="360" w:lineRule="auto"/>
        <w:jc w:val="both"/>
        <w:rPr>
          <w:rFonts w:ascii="Arial" w:hAnsi="Arial" w:cs="Arial"/>
          <w:b/>
          <w:sz w:val="24"/>
          <w:szCs w:val="24"/>
        </w:rPr>
      </w:pPr>
      <w:r>
        <w:rPr>
          <w:rFonts w:ascii="Arial" w:hAnsi="Arial" w:cs="Arial"/>
          <w:b/>
          <w:sz w:val="24"/>
          <w:szCs w:val="24"/>
        </w:rPr>
        <w:t>Estrés y a</w:t>
      </w:r>
      <w:r w:rsidR="00C279EB" w:rsidRPr="00166E17">
        <w:rPr>
          <w:rFonts w:ascii="Arial" w:hAnsi="Arial" w:cs="Arial"/>
          <w:b/>
          <w:sz w:val="24"/>
          <w:szCs w:val="24"/>
        </w:rPr>
        <w:t>utoinmunidad</w:t>
      </w:r>
    </w:p>
    <w:p w:rsidR="00C279EB" w:rsidRPr="00166E17" w:rsidRDefault="00C279EB" w:rsidP="00AD303F">
      <w:pPr>
        <w:spacing w:line="360" w:lineRule="auto"/>
        <w:jc w:val="both"/>
        <w:rPr>
          <w:rFonts w:ascii="Arial" w:hAnsi="Arial" w:cs="Arial"/>
          <w:sz w:val="24"/>
          <w:szCs w:val="24"/>
        </w:rPr>
      </w:pPr>
      <w:r w:rsidRPr="00166E17">
        <w:rPr>
          <w:rFonts w:ascii="Arial" w:hAnsi="Arial" w:cs="Arial"/>
          <w:sz w:val="24"/>
          <w:szCs w:val="24"/>
        </w:rPr>
        <w:t xml:space="preserve">El sistema </w:t>
      </w:r>
      <w:proofErr w:type="spellStart"/>
      <w:r w:rsidRPr="00166E17">
        <w:rPr>
          <w:rFonts w:ascii="Arial" w:hAnsi="Arial" w:cs="Arial"/>
          <w:sz w:val="24"/>
          <w:szCs w:val="24"/>
        </w:rPr>
        <w:t>psiconeuroendocrinoinmune</w:t>
      </w:r>
      <w:proofErr w:type="spellEnd"/>
      <w:r w:rsidRPr="00166E17">
        <w:rPr>
          <w:rFonts w:ascii="Arial" w:hAnsi="Arial" w:cs="Arial"/>
          <w:sz w:val="24"/>
          <w:szCs w:val="24"/>
        </w:rPr>
        <w:t xml:space="preserve"> </w:t>
      </w:r>
      <w:r w:rsidR="00132BF3" w:rsidRPr="00166E17">
        <w:rPr>
          <w:rFonts w:ascii="Arial" w:hAnsi="Arial" w:cs="Arial"/>
          <w:sz w:val="24"/>
          <w:szCs w:val="24"/>
        </w:rPr>
        <w:t xml:space="preserve">(PNEI) </w:t>
      </w:r>
      <w:r w:rsidRPr="00166E17">
        <w:rPr>
          <w:rFonts w:ascii="Arial" w:hAnsi="Arial" w:cs="Arial"/>
          <w:sz w:val="24"/>
          <w:szCs w:val="24"/>
        </w:rPr>
        <w:t>abarca numerosos sistemas de órganos y sus interacciones. Hoy día casi toda la población está sometida de manera prolongada a situaciones estresantes que provoca</w:t>
      </w:r>
      <w:r w:rsidR="00934839" w:rsidRPr="00166E17">
        <w:rPr>
          <w:rFonts w:ascii="Arial" w:hAnsi="Arial" w:cs="Arial"/>
          <w:sz w:val="24"/>
          <w:szCs w:val="24"/>
        </w:rPr>
        <w:t>n</w:t>
      </w:r>
      <w:r w:rsidRPr="00166E17">
        <w:rPr>
          <w:rFonts w:ascii="Arial" w:hAnsi="Arial" w:cs="Arial"/>
          <w:sz w:val="24"/>
          <w:szCs w:val="24"/>
        </w:rPr>
        <w:t xml:space="preserve"> agotamiento y desequilibrio del sistema PNEI. Por ese motivo, el estrés se </w:t>
      </w:r>
      <w:r w:rsidR="00934839" w:rsidRPr="00166E17">
        <w:rPr>
          <w:rFonts w:ascii="Arial" w:hAnsi="Arial" w:cs="Arial"/>
          <w:sz w:val="24"/>
          <w:szCs w:val="24"/>
        </w:rPr>
        <w:t xml:space="preserve">considera una pandemia </w:t>
      </w:r>
      <w:r w:rsidRPr="00166E17">
        <w:rPr>
          <w:rFonts w:ascii="Arial" w:hAnsi="Arial" w:cs="Arial"/>
          <w:sz w:val="24"/>
          <w:szCs w:val="24"/>
        </w:rPr>
        <w:t xml:space="preserve">relacionada con el aumento de la obesidad, la hipertensión arterial y la arterosclerosis y las enfermedades autoinmunes. </w:t>
      </w:r>
      <w:r w:rsidR="0099731E" w:rsidRPr="00166E17">
        <w:rPr>
          <w:rFonts w:ascii="Arial" w:hAnsi="Arial" w:cs="Arial"/>
          <w:sz w:val="24"/>
          <w:szCs w:val="24"/>
        </w:rPr>
        <w:t>3</w:t>
      </w:r>
    </w:p>
    <w:p w:rsidR="00C279EB" w:rsidRPr="00166E17" w:rsidRDefault="00C279EB" w:rsidP="00AD303F">
      <w:pPr>
        <w:spacing w:line="360" w:lineRule="auto"/>
        <w:jc w:val="both"/>
        <w:rPr>
          <w:rFonts w:ascii="Arial" w:hAnsi="Arial" w:cs="Arial"/>
          <w:sz w:val="24"/>
          <w:szCs w:val="24"/>
        </w:rPr>
      </w:pPr>
      <w:r w:rsidRPr="00166E17">
        <w:rPr>
          <w:rFonts w:ascii="Arial" w:hAnsi="Arial" w:cs="Arial"/>
          <w:sz w:val="24"/>
          <w:szCs w:val="24"/>
        </w:rPr>
        <w:t xml:space="preserve">Muchos pacientes </w:t>
      </w:r>
      <w:r w:rsidR="00934839" w:rsidRPr="00166E17">
        <w:rPr>
          <w:rFonts w:ascii="Arial" w:hAnsi="Arial" w:cs="Arial"/>
          <w:sz w:val="24"/>
          <w:szCs w:val="24"/>
        </w:rPr>
        <w:t>a</w:t>
      </w:r>
      <w:r w:rsidRPr="00166E17">
        <w:rPr>
          <w:rFonts w:ascii="Arial" w:hAnsi="Arial" w:cs="Arial"/>
          <w:sz w:val="24"/>
          <w:szCs w:val="24"/>
        </w:rPr>
        <w:t xml:space="preserve"> consecuencia del estrés padece</w:t>
      </w:r>
      <w:r w:rsidR="00132BF3" w:rsidRPr="00166E17">
        <w:rPr>
          <w:rFonts w:ascii="Arial" w:hAnsi="Arial" w:cs="Arial"/>
          <w:sz w:val="24"/>
          <w:szCs w:val="24"/>
        </w:rPr>
        <w:t>n</w:t>
      </w:r>
      <w:r w:rsidRPr="00166E17">
        <w:rPr>
          <w:rFonts w:ascii="Arial" w:hAnsi="Arial" w:cs="Arial"/>
          <w:sz w:val="24"/>
          <w:szCs w:val="24"/>
        </w:rPr>
        <w:t xml:space="preserve"> enfermedades sistémicas inflamatorias que afectan diferentes sistemas de órganos </w:t>
      </w:r>
      <w:r w:rsidR="005528B1" w:rsidRPr="00166E17">
        <w:rPr>
          <w:rFonts w:ascii="Arial" w:hAnsi="Arial" w:cs="Arial"/>
          <w:sz w:val="24"/>
          <w:szCs w:val="24"/>
        </w:rPr>
        <w:t>como</w:t>
      </w:r>
      <w:r w:rsidRPr="00166E17">
        <w:rPr>
          <w:rFonts w:ascii="Arial" w:hAnsi="Arial" w:cs="Arial"/>
          <w:sz w:val="24"/>
          <w:szCs w:val="24"/>
        </w:rPr>
        <w:t xml:space="preserve"> cáncer, enfermedades cardiovasculares, infartos, enfermedad de Parkinson, enfermedades psiquiátricas, fatiga crónica grave</w:t>
      </w:r>
      <w:r w:rsidR="005528B1" w:rsidRPr="00166E17">
        <w:rPr>
          <w:rFonts w:ascii="Arial" w:hAnsi="Arial" w:cs="Arial"/>
          <w:sz w:val="24"/>
          <w:szCs w:val="24"/>
        </w:rPr>
        <w:t>, entre otras</w:t>
      </w:r>
      <w:r w:rsidRPr="00166E17">
        <w:rPr>
          <w:rFonts w:ascii="Arial" w:hAnsi="Arial" w:cs="Arial"/>
          <w:sz w:val="24"/>
          <w:szCs w:val="24"/>
        </w:rPr>
        <w:t xml:space="preserve">. </w:t>
      </w:r>
      <w:bookmarkStart w:id="1" w:name="_Ref512415845"/>
      <w:r w:rsidR="003E7D0A">
        <w:rPr>
          <w:rFonts w:ascii="Arial" w:hAnsi="Arial" w:cs="Arial"/>
          <w:sz w:val="24"/>
          <w:szCs w:val="24"/>
        </w:rPr>
        <w:t xml:space="preserve">En </w:t>
      </w:r>
      <w:r w:rsidRPr="00166E17">
        <w:rPr>
          <w:rFonts w:ascii="Arial" w:hAnsi="Arial" w:cs="Arial"/>
          <w:sz w:val="24"/>
          <w:szCs w:val="24"/>
        </w:rPr>
        <w:t xml:space="preserve">diabéticas el estrés </w:t>
      </w:r>
      <w:r w:rsidR="003E7D0A">
        <w:rPr>
          <w:rFonts w:ascii="Arial" w:hAnsi="Arial" w:cs="Arial"/>
          <w:sz w:val="24"/>
          <w:szCs w:val="24"/>
        </w:rPr>
        <w:t xml:space="preserve">incrementa la probabilidad de anomalías </w:t>
      </w:r>
      <w:proofErr w:type="spellStart"/>
      <w:r w:rsidR="003E7D0A">
        <w:rPr>
          <w:rFonts w:ascii="Arial" w:hAnsi="Arial" w:cs="Arial"/>
          <w:sz w:val="24"/>
          <w:szCs w:val="24"/>
        </w:rPr>
        <w:t>morfofuncionales</w:t>
      </w:r>
      <w:proofErr w:type="spellEnd"/>
      <w:r w:rsidR="003E7D0A">
        <w:rPr>
          <w:rFonts w:ascii="Arial" w:hAnsi="Arial" w:cs="Arial"/>
          <w:sz w:val="24"/>
          <w:szCs w:val="24"/>
        </w:rPr>
        <w:t xml:space="preserve"> </w:t>
      </w:r>
      <w:r w:rsidRPr="00166E17">
        <w:rPr>
          <w:rFonts w:ascii="Arial" w:hAnsi="Arial" w:cs="Arial"/>
          <w:sz w:val="24"/>
          <w:szCs w:val="24"/>
        </w:rPr>
        <w:t xml:space="preserve">en la organogénesis del feto. </w:t>
      </w:r>
      <w:bookmarkEnd w:id="1"/>
      <w:r w:rsidR="0099731E" w:rsidRPr="00166E17">
        <w:rPr>
          <w:rFonts w:ascii="Arial" w:eastAsiaTheme="minorHAnsi" w:hAnsi="Arial" w:cs="Arial"/>
          <w:color w:val="000000"/>
          <w:sz w:val="24"/>
          <w:szCs w:val="24"/>
          <w:lang w:val="es-CU"/>
        </w:rPr>
        <w:t>3</w:t>
      </w:r>
      <w:r w:rsidR="0059682A">
        <w:rPr>
          <w:rFonts w:ascii="Arial" w:eastAsiaTheme="minorHAnsi" w:hAnsi="Arial" w:cs="Arial"/>
          <w:color w:val="000000"/>
          <w:sz w:val="24"/>
          <w:szCs w:val="24"/>
          <w:lang w:val="es-CU"/>
        </w:rPr>
        <w:t>,4</w:t>
      </w:r>
    </w:p>
    <w:p w:rsidR="00C279EB" w:rsidRPr="00166E17" w:rsidRDefault="00C279EB" w:rsidP="00AD303F">
      <w:pPr>
        <w:spacing w:line="360" w:lineRule="auto"/>
        <w:jc w:val="both"/>
        <w:rPr>
          <w:rFonts w:ascii="Arial" w:hAnsi="Arial" w:cs="Arial"/>
          <w:b/>
          <w:sz w:val="24"/>
          <w:szCs w:val="24"/>
          <w:lang w:val="es-MX"/>
        </w:rPr>
      </w:pPr>
      <w:r w:rsidRPr="00166E17">
        <w:rPr>
          <w:rFonts w:ascii="Arial" w:hAnsi="Arial" w:cs="Arial"/>
          <w:b/>
          <w:sz w:val="24"/>
          <w:szCs w:val="24"/>
          <w:lang w:val="es-MX"/>
        </w:rPr>
        <w:t>Infecciones y autoinmunidad</w:t>
      </w:r>
    </w:p>
    <w:p w:rsidR="00C279EB" w:rsidRPr="00166E17" w:rsidRDefault="005528B1" w:rsidP="00AD303F">
      <w:pPr>
        <w:spacing w:line="360" w:lineRule="auto"/>
        <w:jc w:val="both"/>
        <w:rPr>
          <w:rFonts w:ascii="Arial" w:hAnsi="Arial" w:cs="Arial"/>
          <w:sz w:val="24"/>
          <w:szCs w:val="24"/>
          <w:lang w:val="es-MX"/>
        </w:rPr>
      </w:pPr>
      <w:r w:rsidRPr="00166E17">
        <w:rPr>
          <w:rFonts w:ascii="Arial" w:hAnsi="Arial" w:cs="Arial"/>
          <w:sz w:val="24"/>
          <w:szCs w:val="24"/>
          <w:lang w:val="es-MX"/>
        </w:rPr>
        <w:t>E</w:t>
      </w:r>
      <w:r w:rsidR="00C279EB" w:rsidRPr="00166E17">
        <w:rPr>
          <w:rFonts w:ascii="Arial" w:hAnsi="Arial" w:cs="Arial"/>
          <w:sz w:val="24"/>
          <w:szCs w:val="24"/>
          <w:lang w:val="es-MX"/>
        </w:rPr>
        <w:t>s uno de los aspectos más conoc</w:t>
      </w:r>
      <w:r w:rsidRPr="00166E17">
        <w:rPr>
          <w:rFonts w:ascii="Arial" w:hAnsi="Arial" w:cs="Arial"/>
          <w:sz w:val="24"/>
          <w:szCs w:val="24"/>
          <w:lang w:val="es-MX"/>
        </w:rPr>
        <w:t>idos</w:t>
      </w:r>
      <w:r w:rsidR="00C279EB" w:rsidRPr="00166E17">
        <w:rPr>
          <w:rFonts w:ascii="Arial" w:hAnsi="Arial" w:cs="Arial"/>
          <w:sz w:val="24"/>
          <w:szCs w:val="24"/>
          <w:lang w:val="es-MX"/>
        </w:rPr>
        <w:t xml:space="preserve"> y estudiado</w:t>
      </w:r>
      <w:r w:rsidRPr="00166E17">
        <w:rPr>
          <w:rFonts w:ascii="Arial" w:hAnsi="Arial" w:cs="Arial"/>
          <w:sz w:val="24"/>
          <w:szCs w:val="24"/>
          <w:lang w:val="es-MX"/>
        </w:rPr>
        <w:t>s</w:t>
      </w:r>
      <w:r w:rsidR="00C279EB" w:rsidRPr="00166E17">
        <w:rPr>
          <w:rFonts w:ascii="Arial" w:hAnsi="Arial" w:cs="Arial"/>
          <w:sz w:val="24"/>
          <w:szCs w:val="24"/>
          <w:lang w:val="es-MX"/>
        </w:rPr>
        <w:t xml:space="preserve"> en relación a la etiología de las enfermedades autoinmunes. Por esa razón en el presente trabajo nos limitaremos a mencionar los mecanismos que se conocen. </w:t>
      </w:r>
    </w:p>
    <w:p w:rsidR="009E7D1B" w:rsidRPr="00166E17" w:rsidRDefault="00C279EB" w:rsidP="00AD303F">
      <w:pPr>
        <w:spacing w:line="360" w:lineRule="auto"/>
        <w:jc w:val="both"/>
        <w:rPr>
          <w:rFonts w:ascii="Arial" w:hAnsi="Arial" w:cs="Arial"/>
          <w:sz w:val="24"/>
          <w:szCs w:val="24"/>
        </w:rPr>
      </w:pPr>
      <w:r w:rsidRPr="00166E17">
        <w:rPr>
          <w:rFonts w:ascii="Arial" w:hAnsi="Arial" w:cs="Arial"/>
          <w:sz w:val="24"/>
          <w:szCs w:val="24"/>
        </w:rPr>
        <w:t xml:space="preserve">Los agentes infecciosos pueden desencadenar que el sistema inmune sea </w:t>
      </w:r>
      <w:proofErr w:type="spellStart"/>
      <w:r w:rsidRPr="00166E17">
        <w:rPr>
          <w:rFonts w:ascii="Arial" w:hAnsi="Arial" w:cs="Arial"/>
          <w:sz w:val="24"/>
          <w:szCs w:val="24"/>
        </w:rPr>
        <w:t>autorreactivo</w:t>
      </w:r>
      <w:proofErr w:type="spellEnd"/>
      <w:r w:rsidR="00934839" w:rsidRPr="00166E17">
        <w:rPr>
          <w:rFonts w:ascii="Arial" w:hAnsi="Arial" w:cs="Arial"/>
          <w:sz w:val="24"/>
          <w:szCs w:val="24"/>
        </w:rPr>
        <w:t xml:space="preserve"> por </w:t>
      </w:r>
      <w:r w:rsidRPr="00166E17">
        <w:rPr>
          <w:rFonts w:ascii="Arial" w:hAnsi="Arial" w:cs="Arial"/>
          <w:sz w:val="24"/>
          <w:szCs w:val="24"/>
        </w:rPr>
        <w:t>reactividad cruzada entre estructuras del agresor y el hospedero</w:t>
      </w:r>
      <w:r w:rsidR="00934839" w:rsidRPr="00166E17">
        <w:rPr>
          <w:rFonts w:ascii="Arial" w:hAnsi="Arial" w:cs="Arial"/>
          <w:sz w:val="24"/>
          <w:szCs w:val="24"/>
        </w:rPr>
        <w:t>, por</w:t>
      </w:r>
      <w:r w:rsidRPr="00166E17">
        <w:rPr>
          <w:rFonts w:ascii="Arial" w:hAnsi="Arial" w:cs="Arial"/>
          <w:sz w:val="24"/>
          <w:szCs w:val="24"/>
        </w:rPr>
        <w:t xml:space="preserve"> activación inespecífica cuando los patógenos rompen la tolerancia en </w:t>
      </w:r>
      <w:r w:rsidR="00D11C6D" w:rsidRPr="00166E17">
        <w:rPr>
          <w:rFonts w:ascii="Arial" w:hAnsi="Arial" w:cs="Arial"/>
          <w:sz w:val="24"/>
          <w:szCs w:val="24"/>
        </w:rPr>
        <w:t>la</w:t>
      </w:r>
      <w:r w:rsidRPr="00166E17">
        <w:rPr>
          <w:rFonts w:ascii="Arial" w:hAnsi="Arial" w:cs="Arial"/>
          <w:sz w:val="24"/>
          <w:szCs w:val="24"/>
        </w:rPr>
        <w:t xml:space="preserve"> respuesta inflamatoria</w:t>
      </w:r>
      <w:r w:rsidR="00934839" w:rsidRPr="00166E17">
        <w:rPr>
          <w:rFonts w:ascii="Arial" w:hAnsi="Arial" w:cs="Arial"/>
          <w:sz w:val="24"/>
          <w:szCs w:val="24"/>
        </w:rPr>
        <w:t>, por presentación de</w:t>
      </w:r>
      <w:r w:rsidRPr="00166E17">
        <w:rPr>
          <w:rFonts w:ascii="Arial" w:hAnsi="Arial" w:cs="Arial"/>
          <w:sz w:val="24"/>
          <w:szCs w:val="24"/>
        </w:rPr>
        <w:t xml:space="preserve"> antígenos crípticos o </w:t>
      </w:r>
      <w:proofErr w:type="spellStart"/>
      <w:r w:rsidRPr="00166E17">
        <w:rPr>
          <w:rFonts w:ascii="Arial" w:hAnsi="Arial" w:cs="Arial"/>
          <w:sz w:val="24"/>
          <w:szCs w:val="24"/>
        </w:rPr>
        <w:t>superantígenos</w:t>
      </w:r>
      <w:proofErr w:type="spellEnd"/>
      <w:r w:rsidRPr="00166E17">
        <w:rPr>
          <w:rFonts w:ascii="Arial" w:hAnsi="Arial" w:cs="Arial"/>
          <w:sz w:val="24"/>
          <w:szCs w:val="24"/>
        </w:rPr>
        <w:t xml:space="preserve"> que activan muchos linfocitos que pueden ser autorreactivos. Por ejemplo, en modelos animales los virus pueden desencadenar que se exacerben las manifestaciones clínicas del lupus. Las infecciones persistentes por enterovirus incrementan el daño en los islotes del páncreas, pues rompen la tolerancia y activan linfocitos que lesionan este tejido. </w:t>
      </w:r>
      <w:r w:rsidR="003E7D0A">
        <w:rPr>
          <w:rFonts w:ascii="Arial" w:hAnsi="Arial" w:cs="Arial"/>
          <w:sz w:val="24"/>
          <w:szCs w:val="24"/>
        </w:rPr>
        <w:t>10</w:t>
      </w:r>
    </w:p>
    <w:p w:rsidR="00F412C3" w:rsidRPr="00166E17" w:rsidRDefault="00F412C3" w:rsidP="00AD303F">
      <w:pPr>
        <w:spacing w:line="360" w:lineRule="auto"/>
        <w:jc w:val="both"/>
        <w:rPr>
          <w:rFonts w:ascii="Arial" w:hAnsi="Arial" w:cs="Arial"/>
          <w:sz w:val="24"/>
          <w:szCs w:val="24"/>
          <w:lang w:val="es-CU"/>
        </w:rPr>
      </w:pPr>
    </w:p>
    <w:p w:rsidR="009E7D1B" w:rsidRPr="00166E17" w:rsidRDefault="009E7D1B" w:rsidP="00AD303F">
      <w:pPr>
        <w:spacing w:line="360" w:lineRule="auto"/>
        <w:jc w:val="both"/>
        <w:rPr>
          <w:rFonts w:ascii="Arial" w:hAnsi="Arial" w:cs="Arial"/>
          <w:sz w:val="24"/>
          <w:szCs w:val="24"/>
        </w:rPr>
      </w:pPr>
      <w:r w:rsidRPr="00166E17">
        <w:rPr>
          <w:rFonts w:ascii="Arial" w:hAnsi="Arial" w:cs="Arial"/>
          <w:sz w:val="24"/>
          <w:szCs w:val="24"/>
        </w:rPr>
        <w:br w:type="page"/>
      </w:r>
    </w:p>
    <w:p w:rsidR="003E7D0A" w:rsidRDefault="003E7D0A" w:rsidP="003E7D0A">
      <w:pPr>
        <w:spacing w:line="360" w:lineRule="auto"/>
        <w:jc w:val="both"/>
        <w:rPr>
          <w:rFonts w:ascii="Arial" w:hAnsi="Arial" w:cs="Arial"/>
          <w:b/>
          <w:sz w:val="24"/>
          <w:szCs w:val="24"/>
        </w:rPr>
      </w:pPr>
    </w:p>
    <w:p w:rsidR="003E7D0A" w:rsidRDefault="003E7D0A" w:rsidP="003E7D0A">
      <w:pPr>
        <w:spacing w:line="360" w:lineRule="auto"/>
        <w:jc w:val="both"/>
        <w:rPr>
          <w:rFonts w:ascii="Arial" w:hAnsi="Arial" w:cs="Arial"/>
          <w:b/>
          <w:sz w:val="24"/>
          <w:szCs w:val="24"/>
        </w:rPr>
      </w:pPr>
    </w:p>
    <w:p w:rsidR="003E7D0A" w:rsidRDefault="003E7D0A" w:rsidP="003E7D0A">
      <w:pPr>
        <w:spacing w:line="360" w:lineRule="auto"/>
        <w:jc w:val="both"/>
        <w:rPr>
          <w:rFonts w:ascii="Arial" w:hAnsi="Arial" w:cs="Arial"/>
          <w:b/>
          <w:sz w:val="24"/>
          <w:szCs w:val="24"/>
        </w:rPr>
      </w:pPr>
      <w:r w:rsidRPr="00166E17">
        <w:rPr>
          <w:rFonts w:ascii="Arial" w:hAnsi="Arial" w:cs="Arial"/>
          <w:b/>
          <w:sz w:val="24"/>
          <w:szCs w:val="24"/>
        </w:rPr>
        <w:t xml:space="preserve">Conclusiones: </w:t>
      </w:r>
    </w:p>
    <w:p w:rsidR="003E7D0A" w:rsidRDefault="003E7D0A" w:rsidP="003E7D0A">
      <w:pPr>
        <w:spacing w:line="360" w:lineRule="auto"/>
        <w:jc w:val="both"/>
        <w:rPr>
          <w:rFonts w:ascii="Arial" w:hAnsi="Arial" w:cs="Arial"/>
          <w:sz w:val="24"/>
          <w:szCs w:val="24"/>
        </w:rPr>
      </w:pPr>
      <w:r w:rsidRPr="00166E17">
        <w:rPr>
          <w:rFonts w:ascii="Arial" w:hAnsi="Arial" w:cs="Arial"/>
          <w:sz w:val="24"/>
          <w:szCs w:val="24"/>
        </w:rPr>
        <w:t xml:space="preserve">Las enfermedades autoinmunes son más frecuentes en las mujeres. Una alimentación adecuada permite que la microbiota intestinal no se altere y que mantenga la homeostasis inmunológica. Infecciones y situaciones de estrés pueden desencadenar o exacerbar las manifestaciones clínicas de la autoinmunidad. </w:t>
      </w: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3E7D0A" w:rsidRDefault="003E7D0A" w:rsidP="00AD303F">
      <w:pPr>
        <w:spacing w:line="360" w:lineRule="auto"/>
        <w:ind w:left="426" w:hanging="426"/>
        <w:jc w:val="both"/>
        <w:rPr>
          <w:rFonts w:ascii="Arial" w:hAnsi="Arial" w:cs="Arial"/>
          <w:b/>
          <w:sz w:val="24"/>
          <w:szCs w:val="24"/>
        </w:rPr>
      </w:pPr>
    </w:p>
    <w:p w:rsidR="009E7D1B" w:rsidRDefault="009E7D1B" w:rsidP="00AD303F">
      <w:pPr>
        <w:spacing w:line="360" w:lineRule="auto"/>
        <w:ind w:left="426" w:hanging="426"/>
        <w:jc w:val="both"/>
        <w:rPr>
          <w:rFonts w:ascii="Arial" w:hAnsi="Arial" w:cs="Arial"/>
          <w:b/>
          <w:sz w:val="24"/>
          <w:szCs w:val="24"/>
        </w:rPr>
      </w:pPr>
      <w:r w:rsidRPr="00166E17">
        <w:rPr>
          <w:rFonts w:ascii="Arial" w:hAnsi="Arial" w:cs="Arial"/>
          <w:b/>
          <w:sz w:val="24"/>
          <w:szCs w:val="24"/>
        </w:rPr>
        <w:t>Referencias</w:t>
      </w:r>
    </w:p>
    <w:p w:rsidR="003E7D0A" w:rsidRPr="00166E17" w:rsidRDefault="003E7D0A" w:rsidP="00AD303F">
      <w:pPr>
        <w:spacing w:line="360" w:lineRule="auto"/>
        <w:ind w:left="426" w:hanging="426"/>
        <w:jc w:val="both"/>
        <w:rPr>
          <w:rFonts w:ascii="Arial" w:hAnsi="Arial" w:cs="Arial"/>
          <w:b/>
          <w:sz w:val="24"/>
          <w:szCs w:val="24"/>
        </w:rPr>
      </w:pPr>
    </w:p>
    <w:p w:rsidR="00ED7192" w:rsidRPr="00166E17" w:rsidRDefault="00ED7192" w:rsidP="00AD303F">
      <w:pPr>
        <w:pStyle w:val="Prrafodelista"/>
        <w:numPr>
          <w:ilvl w:val="0"/>
          <w:numId w:val="1"/>
        </w:numPr>
        <w:spacing w:line="360" w:lineRule="auto"/>
        <w:jc w:val="both"/>
        <w:rPr>
          <w:rFonts w:ascii="Arial" w:hAnsi="Arial" w:cs="Arial"/>
          <w:sz w:val="24"/>
          <w:szCs w:val="24"/>
          <w:lang w:val="fr-FR"/>
        </w:rPr>
      </w:pPr>
      <w:r w:rsidRPr="00166E17">
        <w:rPr>
          <w:rFonts w:ascii="Arial" w:hAnsi="Arial" w:cs="Arial"/>
          <w:noProof/>
          <w:sz w:val="24"/>
          <w:szCs w:val="24"/>
          <w:lang w:val="en-US"/>
        </w:rPr>
        <w:t xml:space="preserve">Moulton VR. Sex Hormones in Acquired Immunity and Autoimmune Disease. </w:t>
      </w:r>
      <w:r w:rsidRPr="00166E17">
        <w:rPr>
          <w:rFonts w:ascii="Arial" w:hAnsi="Arial" w:cs="Arial"/>
          <w:noProof/>
          <w:sz w:val="24"/>
          <w:szCs w:val="24"/>
          <w:lang w:val="fr-FR"/>
        </w:rPr>
        <w:t xml:space="preserve">Front Immunol </w:t>
      </w:r>
      <w:r w:rsidRPr="00166E17">
        <w:rPr>
          <w:rFonts w:ascii="Arial" w:hAnsi="Arial" w:cs="Arial"/>
          <w:sz w:val="24"/>
          <w:szCs w:val="24"/>
          <w:lang w:val="fr-FR"/>
        </w:rPr>
        <w:t xml:space="preserve">[Internet]. </w:t>
      </w:r>
      <w:r w:rsidRPr="00166E17">
        <w:rPr>
          <w:rFonts w:ascii="Arial" w:hAnsi="Arial" w:cs="Arial"/>
          <w:noProof/>
          <w:sz w:val="24"/>
          <w:szCs w:val="24"/>
          <w:lang w:val="fr-FR"/>
        </w:rPr>
        <w:t xml:space="preserve"> 2018 </w:t>
      </w:r>
      <w:r w:rsidRPr="00166E17">
        <w:rPr>
          <w:rFonts w:ascii="Arial" w:hAnsi="Arial" w:cs="Arial"/>
          <w:sz w:val="24"/>
          <w:szCs w:val="24"/>
          <w:lang w:val="fr-FR"/>
        </w:rPr>
        <w:t>[</w:t>
      </w:r>
      <w:proofErr w:type="spellStart"/>
      <w:r w:rsidRPr="00166E17">
        <w:rPr>
          <w:rFonts w:ascii="Arial" w:hAnsi="Arial" w:cs="Arial"/>
          <w:sz w:val="24"/>
          <w:szCs w:val="24"/>
          <w:lang w:val="fr-FR"/>
        </w:rPr>
        <w:t>c</w:t>
      </w:r>
      <w:r w:rsidR="003E7D0A">
        <w:rPr>
          <w:rFonts w:ascii="Arial" w:hAnsi="Arial" w:cs="Arial"/>
          <w:sz w:val="24"/>
          <w:szCs w:val="24"/>
          <w:lang w:val="fr-FR"/>
        </w:rPr>
        <w:t>onsul</w:t>
      </w:r>
      <w:r w:rsidRPr="00166E17">
        <w:rPr>
          <w:rFonts w:ascii="Arial" w:hAnsi="Arial" w:cs="Arial"/>
          <w:sz w:val="24"/>
          <w:szCs w:val="24"/>
          <w:lang w:val="fr-FR"/>
        </w:rPr>
        <w:t>tado</w:t>
      </w:r>
      <w:proofErr w:type="spellEnd"/>
      <w:r w:rsidRPr="00166E17">
        <w:rPr>
          <w:rFonts w:ascii="Arial" w:hAnsi="Arial" w:cs="Arial"/>
          <w:sz w:val="24"/>
          <w:szCs w:val="24"/>
          <w:lang w:val="fr-FR"/>
        </w:rPr>
        <w:t xml:space="preserve"> </w:t>
      </w:r>
      <w:r w:rsidR="003E7D0A">
        <w:rPr>
          <w:rFonts w:ascii="Arial" w:hAnsi="Arial" w:cs="Arial"/>
          <w:sz w:val="24"/>
          <w:szCs w:val="24"/>
          <w:lang w:val="fr-FR"/>
        </w:rPr>
        <w:t>1</w:t>
      </w:r>
      <w:r w:rsidRPr="00166E17">
        <w:rPr>
          <w:rFonts w:ascii="Arial" w:hAnsi="Arial" w:cs="Arial"/>
          <w:sz w:val="24"/>
          <w:szCs w:val="24"/>
          <w:lang w:val="fr-FR"/>
        </w:rPr>
        <w:t xml:space="preserve">4 </w:t>
      </w:r>
      <w:proofErr w:type="spellStart"/>
      <w:r w:rsidRPr="00166E17">
        <w:rPr>
          <w:rFonts w:ascii="Arial" w:hAnsi="Arial" w:cs="Arial"/>
          <w:sz w:val="24"/>
          <w:szCs w:val="24"/>
          <w:lang w:val="fr-FR"/>
        </w:rPr>
        <w:t>Feb</w:t>
      </w:r>
      <w:proofErr w:type="spellEnd"/>
      <w:r w:rsidRPr="00166E17">
        <w:rPr>
          <w:rFonts w:ascii="Arial" w:hAnsi="Arial" w:cs="Arial"/>
          <w:sz w:val="24"/>
          <w:szCs w:val="24"/>
          <w:lang w:val="fr-FR"/>
        </w:rPr>
        <w:t xml:space="preserve"> 2019]</w:t>
      </w:r>
      <w:r w:rsidRPr="00166E17">
        <w:rPr>
          <w:rFonts w:ascii="Arial" w:hAnsi="Arial" w:cs="Arial"/>
          <w:noProof/>
          <w:sz w:val="24"/>
          <w:szCs w:val="24"/>
          <w:lang w:val="fr-FR"/>
        </w:rPr>
        <w:t xml:space="preserve">; 9:2279. </w:t>
      </w:r>
      <w:r w:rsidRPr="00166E17">
        <w:rPr>
          <w:rFonts w:ascii="Arial" w:hAnsi="Arial" w:cs="Arial"/>
          <w:sz w:val="24"/>
          <w:szCs w:val="24"/>
          <w:lang w:val="fr-FR"/>
        </w:rPr>
        <w:t xml:space="preserve">Disponible en: </w:t>
      </w:r>
      <w:hyperlink r:id="rId8" w:history="1">
        <w:r w:rsidRPr="00166E17">
          <w:rPr>
            <w:rStyle w:val="Hipervnculo"/>
            <w:rFonts w:ascii="Arial" w:hAnsi="Arial" w:cs="Arial"/>
            <w:sz w:val="24"/>
            <w:szCs w:val="24"/>
            <w:lang w:val="fr-FR"/>
          </w:rPr>
          <w:t>https://www.frontiersin.org/articles/10.3389/fimmu.2018.02279/full</w:t>
        </w:r>
      </w:hyperlink>
    </w:p>
    <w:p w:rsidR="00ED7192" w:rsidRPr="00166E17" w:rsidRDefault="00ED7192" w:rsidP="00AD303F">
      <w:pPr>
        <w:pStyle w:val="Prrafodelista"/>
        <w:numPr>
          <w:ilvl w:val="0"/>
          <w:numId w:val="1"/>
        </w:numPr>
        <w:spacing w:line="360" w:lineRule="auto"/>
        <w:jc w:val="both"/>
        <w:rPr>
          <w:rStyle w:val="Hipervnculo"/>
          <w:rFonts w:ascii="Arial" w:hAnsi="Arial" w:cs="Arial"/>
          <w:sz w:val="24"/>
          <w:szCs w:val="24"/>
        </w:rPr>
      </w:pPr>
      <w:r w:rsidRPr="00166E17">
        <w:rPr>
          <w:rFonts w:ascii="Arial" w:hAnsi="Arial" w:cs="Arial"/>
          <w:sz w:val="24"/>
          <w:szCs w:val="24"/>
          <w:lang w:val="en-US"/>
        </w:rPr>
        <w:t>Xu Y, Chen G. Mast Cell and Autoimmune Diseases.</w:t>
      </w:r>
      <w:r w:rsidRPr="00166E17">
        <w:rPr>
          <w:rStyle w:val="cit"/>
          <w:rFonts w:ascii="Arial" w:hAnsi="Arial" w:cs="Arial"/>
          <w:sz w:val="24"/>
          <w:szCs w:val="24"/>
          <w:lang w:val="en-US"/>
        </w:rPr>
        <w:t xml:space="preserve"> </w:t>
      </w:r>
      <w:proofErr w:type="spellStart"/>
      <w:r w:rsidRPr="00166E17">
        <w:rPr>
          <w:rStyle w:val="cit"/>
          <w:rFonts w:ascii="Arial" w:hAnsi="Arial" w:cs="Arial"/>
          <w:sz w:val="24"/>
          <w:szCs w:val="24"/>
        </w:rPr>
        <w:t>Mediators</w:t>
      </w:r>
      <w:proofErr w:type="spellEnd"/>
      <w:r w:rsidRPr="00166E17">
        <w:rPr>
          <w:rStyle w:val="cit"/>
          <w:rFonts w:ascii="Arial" w:hAnsi="Arial" w:cs="Arial"/>
          <w:sz w:val="24"/>
          <w:szCs w:val="24"/>
        </w:rPr>
        <w:t xml:space="preserve"> </w:t>
      </w:r>
      <w:proofErr w:type="spellStart"/>
      <w:r w:rsidRPr="00166E17">
        <w:rPr>
          <w:rStyle w:val="cit"/>
          <w:rFonts w:ascii="Arial" w:hAnsi="Arial" w:cs="Arial"/>
          <w:sz w:val="24"/>
          <w:szCs w:val="24"/>
        </w:rPr>
        <w:t>Inflamm</w:t>
      </w:r>
      <w:proofErr w:type="spellEnd"/>
      <w:r w:rsidRPr="00166E17">
        <w:rPr>
          <w:rStyle w:val="cit"/>
          <w:rFonts w:ascii="Arial" w:hAnsi="Arial" w:cs="Arial"/>
          <w:color w:val="FF0000"/>
          <w:sz w:val="24"/>
          <w:szCs w:val="24"/>
        </w:rPr>
        <w:t xml:space="preserve">. </w:t>
      </w:r>
      <w:r w:rsidRPr="00166E17">
        <w:rPr>
          <w:rFonts w:ascii="Arial" w:hAnsi="Arial" w:cs="Arial"/>
          <w:sz w:val="24"/>
          <w:szCs w:val="24"/>
        </w:rPr>
        <w:t>[Internet]. 2015</w:t>
      </w:r>
      <w:r w:rsidRPr="00166E17">
        <w:rPr>
          <w:rStyle w:val="Ttulo2Car"/>
          <w:rFonts w:ascii="Arial" w:eastAsia="Calibri" w:hAnsi="Arial" w:cs="Arial"/>
          <w:sz w:val="24"/>
          <w:szCs w:val="24"/>
        </w:rPr>
        <w:t xml:space="preserve"> </w:t>
      </w:r>
      <w:r w:rsidRPr="00166E17">
        <w:rPr>
          <w:rFonts w:ascii="Arial" w:hAnsi="Arial" w:cs="Arial"/>
          <w:sz w:val="24"/>
          <w:szCs w:val="24"/>
        </w:rPr>
        <w:t>[</w:t>
      </w:r>
      <w:proofErr w:type="spellStart"/>
      <w:r w:rsidR="003E7D0A" w:rsidRPr="00166E17">
        <w:rPr>
          <w:rFonts w:ascii="Arial" w:hAnsi="Arial" w:cs="Arial"/>
          <w:sz w:val="24"/>
          <w:szCs w:val="24"/>
          <w:lang w:val="fr-FR"/>
        </w:rPr>
        <w:t>c</w:t>
      </w:r>
      <w:r w:rsidR="003E7D0A">
        <w:rPr>
          <w:rFonts w:ascii="Arial" w:hAnsi="Arial" w:cs="Arial"/>
          <w:sz w:val="24"/>
          <w:szCs w:val="24"/>
          <w:lang w:val="fr-FR"/>
        </w:rPr>
        <w:t>onsul</w:t>
      </w:r>
      <w:r w:rsidR="003E7D0A" w:rsidRPr="00166E17">
        <w:rPr>
          <w:rFonts w:ascii="Arial" w:hAnsi="Arial" w:cs="Arial"/>
          <w:sz w:val="24"/>
          <w:szCs w:val="24"/>
          <w:lang w:val="fr-FR"/>
        </w:rPr>
        <w:t>tado</w:t>
      </w:r>
      <w:proofErr w:type="spellEnd"/>
      <w:r w:rsidRPr="00166E17">
        <w:rPr>
          <w:rFonts w:ascii="Arial" w:hAnsi="Arial" w:cs="Arial"/>
          <w:sz w:val="24"/>
          <w:szCs w:val="24"/>
        </w:rPr>
        <w:t xml:space="preserve"> 8 Jul 2018]</w:t>
      </w:r>
      <w:proofErr w:type="gramStart"/>
      <w:r w:rsidRPr="00166E17">
        <w:rPr>
          <w:rFonts w:ascii="Arial" w:hAnsi="Arial" w:cs="Arial"/>
          <w:sz w:val="24"/>
          <w:szCs w:val="24"/>
        </w:rPr>
        <w:t>;2015</w:t>
      </w:r>
      <w:proofErr w:type="gramEnd"/>
      <w:r w:rsidR="00AD303F">
        <w:rPr>
          <w:rFonts w:ascii="Arial" w:hAnsi="Arial" w:cs="Arial"/>
          <w:sz w:val="24"/>
          <w:szCs w:val="24"/>
        </w:rPr>
        <w:t xml:space="preserve"> </w:t>
      </w:r>
      <w:r w:rsidRPr="00166E17">
        <w:rPr>
          <w:rFonts w:ascii="Arial" w:hAnsi="Arial" w:cs="Arial"/>
          <w:sz w:val="24"/>
          <w:szCs w:val="24"/>
        </w:rPr>
        <w:t>(</w:t>
      </w:r>
      <w:r w:rsidRPr="00166E17">
        <w:rPr>
          <w:rStyle w:val="cit"/>
          <w:rFonts w:ascii="Arial" w:hAnsi="Arial" w:cs="Arial"/>
          <w:sz w:val="24"/>
          <w:szCs w:val="24"/>
        </w:rPr>
        <w:t xml:space="preserve">2015):246126. </w:t>
      </w:r>
      <w:r w:rsidRPr="00166E17">
        <w:rPr>
          <w:rFonts w:ascii="Arial" w:hAnsi="Arial" w:cs="Arial"/>
          <w:sz w:val="24"/>
          <w:szCs w:val="24"/>
          <w:lang w:val="es-CU"/>
        </w:rPr>
        <w:t xml:space="preserve">   Disponible </w:t>
      </w:r>
      <w:r w:rsidRPr="00166E17">
        <w:rPr>
          <w:rFonts w:ascii="Arial" w:hAnsi="Arial" w:cs="Arial"/>
          <w:sz w:val="24"/>
          <w:szCs w:val="24"/>
        </w:rPr>
        <w:t xml:space="preserve">en: </w:t>
      </w:r>
      <w:hyperlink r:id="rId9" w:history="1">
        <w:r w:rsidRPr="00166E17">
          <w:rPr>
            <w:rStyle w:val="Hipervnculo"/>
            <w:rFonts w:ascii="Arial" w:hAnsi="Arial" w:cs="Arial"/>
            <w:sz w:val="24"/>
            <w:szCs w:val="24"/>
          </w:rPr>
          <w:t>https://www.ncbi.nlm.nih.gov/pmc/articles/PMC4402170/</w:t>
        </w:r>
      </w:hyperlink>
    </w:p>
    <w:p w:rsidR="00ED7192" w:rsidRPr="00AD303F" w:rsidRDefault="00ED7192" w:rsidP="00AD303F">
      <w:pPr>
        <w:pStyle w:val="Prrafodelista"/>
        <w:numPr>
          <w:ilvl w:val="0"/>
          <w:numId w:val="1"/>
        </w:numPr>
        <w:spacing w:line="360" w:lineRule="auto"/>
        <w:jc w:val="both"/>
        <w:rPr>
          <w:rFonts w:ascii="Arial" w:hAnsi="Arial" w:cs="Arial"/>
          <w:color w:val="0000FF"/>
          <w:sz w:val="24"/>
          <w:szCs w:val="24"/>
          <w:u w:val="single"/>
        </w:rPr>
      </w:pPr>
      <w:r w:rsidRPr="00166E17">
        <w:rPr>
          <w:rFonts w:ascii="Arial" w:eastAsiaTheme="minorHAnsi" w:hAnsi="Arial" w:cs="Arial"/>
          <w:color w:val="000000"/>
          <w:sz w:val="24"/>
          <w:szCs w:val="24"/>
          <w:lang w:val="es-CU"/>
        </w:rPr>
        <w:t>González-Costa M, Padrón González AA. La inflamación desde una perspectiva inmunológica: desafío a la Medicina en el siglo XXl. Rev haban cienc méd [Internet]. 2018 [</w:t>
      </w:r>
      <w:proofErr w:type="spellStart"/>
      <w:r w:rsidR="003E7D0A" w:rsidRPr="00166E17">
        <w:rPr>
          <w:rFonts w:ascii="Arial" w:hAnsi="Arial" w:cs="Arial"/>
          <w:sz w:val="24"/>
          <w:szCs w:val="24"/>
          <w:lang w:val="fr-FR"/>
        </w:rPr>
        <w:t>c</w:t>
      </w:r>
      <w:r w:rsidR="003E7D0A">
        <w:rPr>
          <w:rFonts w:ascii="Arial" w:hAnsi="Arial" w:cs="Arial"/>
          <w:sz w:val="24"/>
          <w:szCs w:val="24"/>
          <w:lang w:val="fr-FR"/>
        </w:rPr>
        <w:t>onsul</w:t>
      </w:r>
      <w:r w:rsidR="003E7D0A" w:rsidRPr="00166E17">
        <w:rPr>
          <w:rFonts w:ascii="Arial" w:hAnsi="Arial" w:cs="Arial"/>
          <w:sz w:val="24"/>
          <w:szCs w:val="24"/>
          <w:lang w:val="fr-FR"/>
        </w:rPr>
        <w:t>tado</w:t>
      </w:r>
      <w:proofErr w:type="spellEnd"/>
      <w:r w:rsidRPr="00166E17">
        <w:rPr>
          <w:rFonts w:ascii="Arial" w:eastAsiaTheme="minorHAnsi" w:hAnsi="Arial" w:cs="Arial"/>
          <w:color w:val="000000"/>
          <w:sz w:val="24"/>
          <w:szCs w:val="24"/>
          <w:lang w:val="es-CU"/>
        </w:rPr>
        <w:t xml:space="preserve"> </w:t>
      </w:r>
      <w:r w:rsidRPr="00166E17">
        <w:rPr>
          <w:rFonts w:ascii="Arial" w:hAnsi="Arial" w:cs="Arial"/>
          <w:color w:val="000000"/>
          <w:sz w:val="24"/>
          <w:szCs w:val="24"/>
          <w:lang w:val="es-CU"/>
        </w:rPr>
        <w:t>2019 Mar 01</w:t>
      </w:r>
      <w:r w:rsidRPr="00166E17">
        <w:rPr>
          <w:rFonts w:ascii="Arial" w:eastAsiaTheme="minorHAnsi" w:hAnsi="Arial" w:cs="Arial"/>
          <w:color w:val="000000"/>
          <w:sz w:val="24"/>
          <w:szCs w:val="24"/>
          <w:lang w:val="es-CU"/>
        </w:rPr>
        <w:t xml:space="preserve">]; 18(1):30-44. Disponible en: </w:t>
      </w:r>
      <w:r w:rsidR="003E7D0A">
        <w:fldChar w:fldCharType="begin"/>
      </w:r>
      <w:r w:rsidR="003E7D0A">
        <w:instrText xml:space="preserve"> HYPERLINK "http://www.revhabanera.sld.cu/index.php/rhab/article/view/2445" </w:instrText>
      </w:r>
      <w:r w:rsidR="003E7D0A">
        <w:fldChar w:fldCharType="separate"/>
      </w:r>
      <w:r w:rsidRPr="00166E17">
        <w:rPr>
          <w:rStyle w:val="Hipervnculo"/>
          <w:rFonts w:ascii="Arial" w:eastAsiaTheme="minorHAnsi" w:hAnsi="Arial" w:cs="Arial"/>
          <w:sz w:val="24"/>
          <w:szCs w:val="24"/>
          <w:lang w:val="es-CU"/>
        </w:rPr>
        <w:t>http://www.revhabanera.sld.cu/index.php/rhab/article/view/2445</w:t>
      </w:r>
      <w:r w:rsidR="003E7D0A">
        <w:rPr>
          <w:rStyle w:val="Hipervnculo"/>
          <w:rFonts w:ascii="Arial" w:eastAsiaTheme="minorHAnsi" w:hAnsi="Arial" w:cs="Arial"/>
          <w:sz w:val="24"/>
          <w:szCs w:val="24"/>
          <w:lang w:val="es-CU"/>
        </w:rPr>
        <w:fldChar w:fldCharType="end"/>
      </w:r>
    </w:p>
    <w:p w:rsidR="0059682A" w:rsidRDefault="0059682A" w:rsidP="0059682A">
      <w:pPr>
        <w:numPr>
          <w:ilvl w:val="0"/>
          <w:numId w:val="1"/>
        </w:numPr>
        <w:spacing w:line="360" w:lineRule="auto"/>
        <w:jc w:val="both"/>
        <w:rPr>
          <w:rFonts w:ascii="Arial" w:hAnsi="Arial" w:cs="Arial"/>
          <w:sz w:val="24"/>
          <w:szCs w:val="24"/>
          <w:lang w:val="en-US"/>
        </w:rPr>
      </w:pPr>
      <w:r w:rsidRPr="007057E3">
        <w:rPr>
          <w:rFonts w:ascii="Arial" w:hAnsi="Arial" w:cs="Arial"/>
          <w:sz w:val="24"/>
          <w:szCs w:val="24"/>
        </w:rPr>
        <w:t xml:space="preserve">Padrón-González AA, Martínez-Infante A. Estrés, </w:t>
      </w:r>
      <w:proofErr w:type="spellStart"/>
      <w:r w:rsidRPr="007057E3">
        <w:rPr>
          <w:rFonts w:ascii="Arial" w:hAnsi="Arial" w:cs="Arial"/>
          <w:sz w:val="24"/>
          <w:szCs w:val="24"/>
        </w:rPr>
        <w:t>psiconeuroendocrinoinmunología</w:t>
      </w:r>
      <w:proofErr w:type="spellEnd"/>
      <w:r w:rsidRPr="007057E3">
        <w:rPr>
          <w:rFonts w:ascii="Arial" w:hAnsi="Arial" w:cs="Arial"/>
          <w:sz w:val="24"/>
          <w:szCs w:val="24"/>
        </w:rPr>
        <w:t xml:space="preserve"> y enfermedades reumatológicas. Actualización del tema. </w:t>
      </w:r>
      <w:proofErr w:type="spellStart"/>
      <w:r w:rsidRPr="007057E3">
        <w:rPr>
          <w:rFonts w:ascii="Arial" w:hAnsi="Arial" w:cs="Arial"/>
          <w:sz w:val="24"/>
          <w:szCs w:val="24"/>
        </w:rPr>
        <w:t>Rev</w:t>
      </w:r>
      <w:proofErr w:type="spellEnd"/>
      <w:r w:rsidRPr="007057E3">
        <w:rPr>
          <w:rFonts w:ascii="Arial" w:hAnsi="Arial" w:cs="Arial"/>
          <w:sz w:val="24"/>
          <w:szCs w:val="24"/>
        </w:rPr>
        <w:t xml:space="preserve"> Cuba </w:t>
      </w:r>
      <w:proofErr w:type="spellStart"/>
      <w:r w:rsidRPr="007057E3">
        <w:rPr>
          <w:rFonts w:ascii="Arial" w:hAnsi="Arial" w:cs="Arial"/>
          <w:sz w:val="24"/>
          <w:szCs w:val="24"/>
        </w:rPr>
        <w:t>Reumatol</w:t>
      </w:r>
      <w:proofErr w:type="spellEnd"/>
      <w:r w:rsidRPr="007057E3">
        <w:rPr>
          <w:rFonts w:ascii="Arial" w:hAnsi="Arial" w:cs="Arial"/>
          <w:sz w:val="24"/>
          <w:szCs w:val="24"/>
        </w:rPr>
        <w:t xml:space="preserve">  [Internet]. </w:t>
      </w:r>
      <w:r w:rsidRPr="0059682A">
        <w:rPr>
          <w:rFonts w:ascii="Arial" w:hAnsi="Arial" w:cs="Arial"/>
          <w:sz w:val="24"/>
          <w:szCs w:val="24"/>
        </w:rPr>
        <w:t xml:space="preserve">2018 </w:t>
      </w:r>
      <w:proofErr w:type="spellStart"/>
      <w:r w:rsidRPr="0059682A">
        <w:rPr>
          <w:rFonts w:ascii="Arial" w:hAnsi="Arial" w:cs="Arial"/>
          <w:sz w:val="24"/>
          <w:szCs w:val="24"/>
        </w:rPr>
        <w:t>Dec</w:t>
      </w:r>
      <w:proofErr w:type="spellEnd"/>
      <w:r w:rsidRPr="0059682A">
        <w:rPr>
          <w:rFonts w:ascii="Arial" w:hAnsi="Arial" w:cs="Arial"/>
          <w:sz w:val="24"/>
          <w:szCs w:val="24"/>
        </w:rPr>
        <w:t xml:space="preserve"> [</w:t>
      </w:r>
      <w:proofErr w:type="spellStart"/>
      <w:r w:rsidRPr="0059682A">
        <w:rPr>
          <w:rFonts w:ascii="Arial" w:hAnsi="Arial" w:cs="Arial"/>
          <w:sz w:val="24"/>
          <w:szCs w:val="24"/>
        </w:rPr>
        <w:t>cited</w:t>
      </w:r>
      <w:proofErr w:type="spellEnd"/>
      <w:r w:rsidRPr="0059682A">
        <w:rPr>
          <w:rFonts w:ascii="Arial" w:hAnsi="Arial" w:cs="Arial"/>
          <w:sz w:val="24"/>
          <w:szCs w:val="24"/>
        </w:rPr>
        <w:t xml:space="preserve">  2018  </w:t>
      </w:r>
      <w:proofErr w:type="spellStart"/>
      <w:r w:rsidRPr="0059682A">
        <w:rPr>
          <w:rFonts w:ascii="Arial" w:hAnsi="Arial" w:cs="Arial"/>
          <w:sz w:val="24"/>
          <w:szCs w:val="24"/>
        </w:rPr>
        <w:t>Dec</w:t>
      </w:r>
      <w:proofErr w:type="spellEnd"/>
      <w:r w:rsidRPr="0059682A">
        <w:rPr>
          <w:rFonts w:ascii="Arial" w:hAnsi="Arial" w:cs="Arial"/>
          <w:sz w:val="24"/>
          <w:szCs w:val="24"/>
        </w:rPr>
        <w:t>  07];  20</w:t>
      </w:r>
      <w:proofErr w:type="gramStart"/>
      <w:r w:rsidRPr="0059682A">
        <w:rPr>
          <w:rFonts w:ascii="Arial" w:hAnsi="Arial" w:cs="Arial"/>
          <w:sz w:val="24"/>
          <w:szCs w:val="24"/>
        </w:rPr>
        <w:t>( 3</w:t>
      </w:r>
      <w:proofErr w:type="gramEnd"/>
      <w:r w:rsidRPr="0059682A">
        <w:rPr>
          <w:rFonts w:ascii="Arial" w:hAnsi="Arial" w:cs="Arial"/>
          <w:sz w:val="24"/>
          <w:szCs w:val="24"/>
        </w:rPr>
        <w:t xml:space="preserve"> ): e628. </w:t>
      </w:r>
      <w:r w:rsidRPr="007057E3">
        <w:rPr>
          <w:rFonts w:ascii="Arial" w:hAnsi="Arial" w:cs="Arial"/>
          <w:sz w:val="24"/>
          <w:szCs w:val="24"/>
          <w:lang w:val="en-US"/>
        </w:rPr>
        <w:t xml:space="preserve">Available from: </w:t>
      </w:r>
      <w:hyperlink r:id="rId10" w:history="1">
        <w:r w:rsidRPr="007057E3">
          <w:rPr>
            <w:rStyle w:val="Hipervnculo"/>
            <w:rFonts w:ascii="Arial" w:hAnsi="Arial" w:cs="Arial"/>
            <w:sz w:val="24"/>
            <w:szCs w:val="24"/>
            <w:lang w:val="en-US"/>
          </w:rPr>
          <w:t>http://scielo.sld.cu/scielo.php?script=sci_arttext&amp;pid=S1817-59962018000300012&amp;lng=en</w:t>
        </w:r>
      </w:hyperlink>
      <w:r w:rsidRPr="007057E3">
        <w:rPr>
          <w:rFonts w:ascii="Arial" w:hAnsi="Arial" w:cs="Arial"/>
          <w:sz w:val="24"/>
          <w:szCs w:val="24"/>
          <w:lang w:val="en-US"/>
        </w:rPr>
        <w:t>.</w:t>
      </w:r>
    </w:p>
    <w:p w:rsidR="00ED7192" w:rsidRPr="003E7D0A" w:rsidRDefault="00ED7192" w:rsidP="00AD303F">
      <w:pPr>
        <w:pStyle w:val="EndNoteBibliography"/>
        <w:numPr>
          <w:ilvl w:val="0"/>
          <w:numId w:val="1"/>
        </w:numPr>
        <w:spacing w:line="360" w:lineRule="auto"/>
        <w:jc w:val="both"/>
        <w:rPr>
          <w:rFonts w:ascii="Arial" w:hAnsi="Arial" w:cs="Arial"/>
          <w:sz w:val="24"/>
          <w:szCs w:val="24"/>
          <w:lang w:val="es-ES"/>
        </w:rPr>
      </w:pPr>
      <w:r w:rsidRPr="00166E17">
        <w:rPr>
          <w:rFonts w:ascii="Arial" w:hAnsi="Arial" w:cs="Arial"/>
          <w:sz w:val="24"/>
          <w:szCs w:val="24"/>
        </w:rPr>
        <w:t xml:space="preserve">Avila M, Bansal A, Culberson J, Peiris AN. The Role of Sex Hormones in Multiple Sclerosis. </w:t>
      </w:r>
      <w:r w:rsidRPr="003E7D0A">
        <w:rPr>
          <w:rFonts w:ascii="Arial" w:hAnsi="Arial" w:cs="Arial"/>
          <w:sz w:val="24"/>
          <w:szCs w:val="24"/>
          <w:lang w:val="es-ES"/>
        </w:rPr>
        <w:t>European Neurology [Internet].  2018 [</w:t>
      </w:r>
      <w:r w:rsidR="003E7D0A" w:rsidRPr="00166E17">
        <w:rPr>
          <w:rFonts w:ascii="Arial" w:hAnsi="Arial" w:cs="Arial"/>
          <w:sz w:val="24"/>
          <w:szCs w:val="24"/>
          <w:lang w:val="fr-FR"/>
        </w:rPr>
        <w:t>c</w:t>
      </w:r>
      <w:r w:rsidR="003E7D0A">
        <w:rPr>
          <w:rFonts w:ascii="Arial" w:hAnsi="Arial" w:cs="Arial"/>
          <w:sz w:val="24"/>
          <w:szCs w:val="24"/>
          <w:lang w:val="fr-FR"/>
        </w:rPr>
        <w:t>onsul</w:t>
      </w:r>
      <w:r w:rsidR="003E7D0A" w:rsidRPr="00166E17">
        <w:rPr>
          <w:rFonts w:ascii="Arial" w:hAnsi="Arial" w:cs="Arial"/>
          <w:sz w:val="24"/>
          <w:szCs w:val="24"/>
          <w:lang w:val="fr-FR"/>
        </w:rPr>
        <w:t>tado</w:t>
      </w:r>
      <w:r w:rsidRPr="003E7D0A">
        <w:rPr>
          <w:rFonts w:ascii="Arial" w:hAnsi="Arial" w:cs="Arial"/>
          <w:sz w:val="24"/>
          <w:szCs w:val="24"/>
          <w:lang w:val="es-ES"/>
        </w:rPr>
        <w:t xml:space="preserve"> </w:t>
      </w:r>
      <w:r w:rsidR="003E7D0A">
        <w:rPr>
          <w:rFonts w:ascii="Arial" w:hAnsi="Arial" w:cs="Arial"/>
          <w:sz w:val="24"/>
          <w:szCs w:val="24"/>
          <w:lang w:val="es-ES"/>
        </w:rPr>
        <w:t>24</w:t>
      </w:r>
      <w:r w:rsidRPr="003E7D0A">
        <w:rPr>
          <w:rFonts w:ascii="Arial" w:hAnsi="Arial" w:cs="Arial"/>
          <w:sz w:val="24"/>
          <w:szCs w:val="24"/>
          <w:lang w:val="es-ES"/>
        </w:rPr>
        <w:t xml:space="preserve"> Feb 2019]; 80 (1-2):93-9. Disponible en:  </w:t>
      </w:r>
      <w:hyperlink r:id="rId11" w:history="1">
        <w:r w:rsidRPr="003E7D0A">
          <w:rPr>
            <w:rStyle w:val="Hipervnculo"/>
            <w:rFonts w:ascii="Arial" w:hAnsi="Arial" w:cs="Arial"/>
            <w:sz w:val="24"/>
            <w:szCs w:val="24"/>
            <w:lang w:val="es-ES"/>
          </w:rPr>
          <w:t>https://www.karger.com/Article/FullText/494262</w:t>
        </w:r>
      </w:hyperlink>
    </w:p>
    <w:p w:rsidR="00ED7192" w:rsidRPr="00166E17" w:rsidRDefault="00ED7192" w:rsidP="00AD303F">
      <w:pPr>
        <w:pStyle w:val="Prrafodelista"/>
        <w:numPr>
          <w:ilvl w:val="0"/>
          <w:numId w:val="1"/>
        </w:numPr>
        <w:spacing w:line="360" w:lineRule="auto"/>
        <w:ind w:left="426" w:hanging="426"/>
        <w:jc w:val="both"/>
        <w:rPr>
          <w:rFonts w:ascii="Arial" w:hAnsi="Arial" w:cs="Arial"/>
          <w:sz w:val="24"/>
          <w:szCs w:val="24"/>
        </w:rPr>
      </w:pPr>
      <w:proofErr w:type="spellStart"/>
      <w:r w:rsidRPr="00166E17">
        <w:rPr>
          <w:rFonts w:ascii="Arial" w:hAnsi="Arial" w:cs="Arial"/>
          <w:sz w:val="24"/>
          <w:szCs w:val="24"/>
          <w:lang w:val="es-MX"/>
        </w:rPr>
        <w:t>Rodriguez</w:t>
      </w:r>
      <w:proofErr w:type="spellEnd"/>
      <w:r w:rsidRPr="00166E17">
        <w:rPr>
          <w:rFonts w:ascii="Arial" w:hAnsi="Arial" w:cs="Arial"/>
          <w:sz w:val="24"/>
          <w:szCs w:val="24"/>
          <w:lang w:val="es-MX"/>
        </w:rPr>
        <w:t>-Pérez JA, Pérez-</w:t>
      </w:r>
      <w:proofErr w:type="spellStart"/>
      <w:r w:rsidRPr="00166E17">
        <w:rPr>
          <w:rFonts w:ascii="Arial" w:hAnsi="Arial" w:cs="Arial"/>
          <w:sz w:val="24"/>
          <w:szCs w:val="24"/>
          <w:lang w:val="es-MX"/>
        </w:rPr>
        <w:t>Vallín</w:t>
      </w:r>
      <w:proofErr w:type="spellEnd"/>
      <w:r w:rsidRPr="00166E17">
        <w:rPr>
          <w:rFonts w:ascii="Arial" w:hAnsi="Arial" w:cs="Arial"/>
          <w:sz w:val="24"/>
          <w:szCs w:val="24"/>
          <w:lang w:val="es-MX"/>
        </w:rPr>
        <w:t xml:space="preserve"> V, Mirabal-</w:t>
      </w:r>
      <w:proofErr w:type="spellStart"/>
      <w:r w:rsidRPr="00166E17">
        <w:rPr>
          <w:rFonts w:ascii="Arial" w:hAnsi="Arial" w:cs="Arial"/>
          <w:sz w:val="24"/>
          <w:szCs w:val="24"/>
          <w:lang w:val="es-MX"/>
        </w:rPr>
        <w:t>Viel</w:t>
      </w:r>
      <w:proofErr w:type="spellEnd"/>
      <w:r w:rsidRPr="00166E17">
        <w:rPr>
          <w:rFonts w:ascii="Arial" w:hAnsi="Arial" w:cs="Arial"/>
          <w:sz w:val="24"/>
          <w:szCs w:val="24"/>
          <w:lang w:val="es-MX"/>
        </w:rPr>
        <w:t xml:space="preserve"> A, Padrón-González AA, Castillo-González W, González-Losada C, </w:t>
      </w:r>
      <w:proofErr w:type="spellStart"/>
      <w:r w:rsidRPr="00166E17">
        <w:rPr>
          <w:rFonts w:ascii="Arial" w:hAnsi="Arial" w:cs="Arial"/>
          <w:sz w:val="24"/>
          <w:szCs w:val="24"/>
          <w:lang w:val="es-MX"/>
        </w:rPr>
        <w:t>Dorta</w:t>
      </w:r>
      <w:proofErr w:type="spellEnd"/>
      <w:r w:rsidRPr="00166E17">
        <w:rPr>
          <w:rFonts w:ascii="Arial" w:hAnsi="Arial" w:cs="Arial"/>
          <w:sz w:val="24"/>
          <w:szCs w:val="24"/>
          <w:lang w:val="es-MX"/>
        </w:rPr>
        <w:t xml:space="preserve">-Contreras AJ. </w:t>
      </w:r>
      <w:r w:rsidRPr="003E7D0A">
        <w:rPr>
          <w:rFonts w:ascii="Arial" w:hAnsi="Arial" w:cs="Arial"/>
          <w:sz w:val="24"/>
          <w:szCs w:val="24"/>
          <w:lang w:val="en-US"/>
        </w:rPr>
        <w:t xml:space="preserve">Epstein Barr Virus and Multiple Sclerosis. FASEB J [Internet].  </w:t>
      </w:r>
      <w:r w:rsidRPr="0059682A">
        <w:rPr>
          <w:rFonts w:ascii="Arial" w:hAnsi="Arial" w:cs="Arial"/>
          <w:sz w:val="24"/>
          <w:szCs w:val="24"/>
          <w:lang w:val="en-US"/>
        </w:rPr>
        <w:t>2018 [</w:t>
      </w:r>
      <w:proofErr w:type="spellStart"/>
      <w:r w:rsidR="003E7D0A" w:rsidRPr="00166E17">
        <w:rPr>
          <w:rFonts w:ascii="Arial" w:hAnsi="Arial" w:cs="Arial"/>
          <w:sz w:val="24"/>
          <w:szCs w:val="24"/>
          <w:lang w:val="fr-FR"/>
        </w:rPr>
        <w:t>c</w:t>
      </w:r>
      <w:r w:rsidR="003E7D0A">
        <w:rPr>
          <w:rFonts w:ascii="Arial" w:hAnsi="Arial" w:cs="Arial"/>
          <w:sz w:val="24"/>
          <w:szCs w:val="24"/>
          <w:lang w:val="fr-FR"/>
        </w:rPr>
        <w:t>onsul</w:t>
      </w:r>
      <w:r w:rsidR="003E7D0A" w:rsidRPr="00166E17">
        <w:rPr>
          <w:rFonts w:ascii="Arial" w:hAnsi="Arial" w:cs="Arial"/>
          <w:sz w:val="24"/>
          <w:szCs w:val="24"/>
          <w:lang w:val="fr-FR"/>
        </w:rPr>
        <w:t>tado</w:t>
      </w:r>
      <w:proofErr w:type="spellEnd"/>
      <w:r w:rsidR="003E7D0A" w:rsidRPr="0059682A">
        <w:rPr>
          <w:rFonts w:ascii="Arial" w:hAnsi="Arial" w:cs="Arial"/>
          <w:sz w:val="24"/>
          <w:szCs w:val="24"/>
          <w:lang w:val="en-US"/>
        </w:rPr>
        <w:t xml:space="preserve"> 19</w:t>
      </w:r>
      <w:r w:rsidRPr="0059682A">
        <w:rPr>
          <w:rFonts w:ascii="Arial" w:hAnsi="Arial" w:cs="Arial"/>
          <w:sz w:val="24"/>
          <w:szCs w:val="24"/>
          <w:lang w:val="en-US"/>
        </w:rPr>
        <w:t xml:space="preserve"> </w:t>
      </w:r>
      <w:proofErr w:type="spellStart"/>
      <w:r w:rsidRPr="0059682A">
        <w:rPr>
          <w:rFonts w:ascii="Arial" w:hAnsi="Arial" w:cs="Arial"/>
          <w:sz w:val="24"/>
          <w:szCs w:val="24"/>
          <w:lang w:val="en-US"/>
        </w:rPr>
        <w:t>Abr</w:t>
      </w:r>
      <w:proofErr w:type="spellEnd"/>
      <w:r w:rsidRPr="0059682A">
        <w:rPr>
          <w:rFonts w:ascii="Arial" w:hAnsi="Arial" w:cs="Arial"/>
          <w:sz w:val="24"/>
          <w:szCs w:val="24"/>
          <w:lang w:val="en-US"/>
        </w:rPr>
        <w:t xml:space="preserve"> 201</w:t>
      </w:r>
      <w:r w:rsidR="003E7D0A" w:rsidRPr="0059682A">
        <w:rPr>
          <w:rFonts w:ascii="Arial" w:hAnsi="Arial" w:cs="Arial"/>
          <w:sz w:val="24"/>
          <w:szCs w:val="24"/>
          <w:lang w:val="en-US"/>
        </w:rPr>
        <w:t>9</w:t>
      </w:r>
      <w:r w:rsidRPr="0059682A">
        <w:rPr>
          <w:rFonts w:ascii="Arial" w:hAnsi="Arial" w:cs="Arial"/>
          <w:sz w:val="24"/>
          <w:szCs w:val="24"/>
          <w:lang w:val="en-US"/>
        </w:rPr>
        <w:t xml:space="preserve">]; 32 (Suppl1): 617.3. </w:t>
      </w:r>
      <w:r w:rsidRPr="00166E17">
        <w:rPr>
          <w:rFonts w:ascii="Arial" w:hAnsi="Arial" w:cs="Arial"/>
          <w:sz w:val="24"/>
          <w:szCs w:val="24"/>
          <w:lang w:val="es-MX"/>
        </w:rPr>
        <w:t xml:space="preserve">Disponible en: </w:t>
      </w:r>
      <w:hyperlink r:id="rId12" w:history="1">
        <w:r w:rsidRPr="00166E17">
          <w:rPr>
            <w:rStyle w:val="Hipervnculo"/>
            <w:rFonts w:ascii="Arial" w:hAnsi="Arial" w:cs="Arial"/>
            <w:sz w:val="24"/>
            <w:szCs w:val="24"/>
            <w:lang w:val="es-MX"/>
          </w:rPr>
          <w:t>https://www.fasebj.org/toc/fasebj/32/1_supplement</w:t>
        </w:r>
      </w:hyperlink>
      <w:r w:rsidRPr="00166E17">
        <w:rPr>
          <w:rFonts w:ascii="Arial" w:hAnsi="Arial" w:cs="Arial"/>
          <w:sz w:val="24"/>
          <w:szCs w:val="24"/>
          <w:lang w:val="es-MX"/>
        </w:rPr>
        <w:t xml:space="preserve"> </w:t>
      </w:r>
    </w:p>
    <w:p w:rsidR="00ED7192" w:rsidRPr="00166E17" w:rsidRDefault="00ED7192" w:rsidP="00AD303F">
      <w:pPr>
        <w:pStyle w:val="Prrafodelista"/>
        <w:numPr>
          <w:ilvl w:val="0"/>
          <w:numId w:val="1"/>
        </w:numPr>
        <w:spacing w:line="360" w:lineRule="auto"/>
        <w:jc w:val="both"/>
        <w:rPr>
          <w:rStyle w:val="Hipervnculo"/>
          <w:rFonts w:ascii="Arial" w:hAnsi="Arial" w:cs="Arial"/>
          <w:color w:val="auto"/>
          <w:sz w:val="24"/>
          <w:szCs w:val="24"/>
          <w:u w:val="none"/>
        </w:rPr>
      </w:pPr>
      <w:proofErr w:type="spellStart"/>
      <w:r w:rsidRPr="00166E17">
        <w:rPr>
          <w:rFonts w:ascii="Arial" w:hAnsi="Arial" w:cs="Arial"/>
          <w:bCs/>
          <w:sz w:val="24"/>
          <w:szCs w:val="24"/>
          <w:lang w:val="en-US"/>
        </w:rPr>
        <w:t>Wegorzewska</w:t>
      </w:r>
      <w:proofErr w:type="spellEnd"/>
      <w:r w:rsidRPr="00166E17">
        <w:rPr>
          <w:rFonts w:ascii="Arial" w:hAnsi="Arial" w:cs="Arial"/>
          <w:bCs/>
          <w:sz w:val="24"/>
          <w:szCs w:val="24"/>
          <w:lang w:val="en-US"/>
        </w:rPr>
        <w:t xml:space="preserve"> MM, </w:t>
      </w:r>
      <w:proofErr w:type="spellStart"/>
      <w:r w:rsidRPr="00166E17">
        <w:rPr>
          <w:rFonts w:ascii="Arial" w:hAnsi="Arial" w:cs="Arial"/>
          <w:bCs/>
          <w:sz w:val="24"/>
          <w:szCs w:val="24"/>
          <w:lang w:val="en-US"/>
        </w:rPr>
        <w:t>Glowacki</w:t>
      </w:r>
      <w:proofErr w:type="spellEnd"/>
      <w:r w:rsidRPr="00166E17">
        <w:rPr>
          <w:rFonts w:ascii="Arial" w:hAnsi="Arial" w:cs="Arial"/>
          <w:bCs/>
          <w:sz w:val="24"/>
          <w:szCs w:val="24"/>
          <w:lang w:val="en-US"/>
        </w:rPr>
        <w:t xml:space="preserve"> RWP, Hsieh SA, </w:t>
      </w:r>
      <w:proofErr w:type="spellStart"/>
      <w:r w:rsidRPr="00166E17">
        <w:rPr>
          <w:rFonts w:ascii="Arial" w:hAnsi="Arial" w:cs="Arial"/>
          <w:bCs/>
          <w:sz w:val="24"/>
          <w:szCs w:val="24"/>
          <w:lang w:val="en-US"/>
        </w:rPr>
        <w:t>Donermeyer</w:t>
      </w:r>
      <w:proofErr w:type="spellEnd"/>
      <w:r w:rsidRPr="00166E17">
        <w:rPr>
          <w:rFonts w:ascii="Arial" w:hAnsi="Arial" w:cs="Arial"/>
          <w:bCs/>
          <w:sz w:val="24"/>
          <w:szCs w:val="24"/>
          <w:lang w:val="en-US"/>
        </w:rPr>
        <w:t xml:space="preserve"> DL, Hickey CA, Horvath SC et al. </w:t>
      </w:r>
      <w:r w:rsidRPr="00166E17">
        <w:rPr>
          <w:rFonts w:ascii="Arial" w:hAnsi="Arial" w:cs="Arial"/>
          <w:sz w:val="24"/>
          <w:szCs w:val="24"/>
          <w:lang w:val="en-US"/>
        </w:rPr>
        <w:t xml:space="preserve">Diet modulates colonic T cell responses by regulating the expression of a </w:t>
      </w:r>
      <w:proofErr w:type="spellStart"/>
      <w:r w:rsidRPr="00166E17">
        <w:rPr>
          <w:rFonts w:ascii="Arial" w:hAnsi="Arial" w:cs="Arial"/>
          <w:sz w:val="24"/>
          <w:szCs w:val="24"/>
          <w:lang w:val="en-US"/>
        </w:rPr>
        <w:t>Bacteroides</w:t>
      </w:r>
      <w:proofErr w:type="spellEnd"/>
      <w:r w:rsidRPr="00166E17">
        <w:rPr>
          <w:rFonts w:ascii="Arial" w:hAnsi="Arial" w:cs="Arial"/>
          <w:sz w:val="24"/>
          <w:szCs w:val="24"/>
          <w:lang w:val="en-US"/>
        </w:rPr>
        <w:t xml:space="preserve"> </w:t>
      </w:r>
      <w:proofErr w:type="spellStart"/>
      <w:r w:rsidRPr="00166E17">
        <w:rPr>
          <w:rFonts w:ascii="Arial" w:hAnsi="Arial" w:cs="Arial"/>
          <w:sz w:val="24"/>
          <w:szCs w:val="24"/>
          <w:lang w:val="en-US"/>
        </w:rPr>
        <w:t>thetaiotaomicron</w:t>
      </w:r>
      <w:proofErr w:type="spellEnd"/>
      <w:r w:rsidRPr="00166E17">
        <w:rPr>
          <w:rFonts w:ascii="Arial" w:hAnsi="Arial" w:cs="Arial"/>
          <w:sz w:val="24"/>
          <w:szCs w:val="24"/>
          <w:lang w:val="en-US"/>
        </w:rPr>
        <w:t xml:space="preserve"> antigen. </w:t>
      </w:r>
      <w:proofErr w:type="spellStart"/>
      <w:r w:rsidRPr="003E7D0A">
        <w:rPr>
          <w:rFonts w:ascii="Arial" w:hAnsi="Arial" w:cs="Arial"/>
          <w:bCs/>
          <w:iCs/>
          <w:sz w:val="24"/>
          <w:szCs w:val="24"/>
        </w:rPr>
        <w:t>Science</w:t>
      </w:r>
      <w:proofErr w:type="spellEnd"/>
      <w:r w:rsidRPr="003E7D0A">
        <w:rPr>
          <w:rFonts w:ascii="Arial" w:hAnsi="Arial" w:cs="Arial"/>
          <w:bCs/>
          <w:iCs/>
          <w:sz w:val="24"/>
          <w:szCs w:val="24"/>
        </w:rPr>
        <w:t xml:space="preserve"> </w:t>
      </w:r>
      <w:proofErr w:type="spellStart"/>
      <w:r w:rsidRPr="003E7D0A">
        <w:rPr>
          <w:rFonts w:ascii="Arial" w:hAnsi="Arial" w:cs="Arial"/>
          <w:bCs/>
          <w:iCs/>
          <w:sz w:val="24"/>
          <w:szCs w:val="24"/>
        </w:rPr>
        <w:t>Immunology</w:t>
      </w:r>
      <w:proofErr w:type="spellEnd"/>
      <w:r w:rsidRPr="003E7D0A">
        <w:rPr>
          <w:rFonts w:ascii="Arial" w:hAnsi="Arial" w:cs="Arial"/>
          <w:bCs/>
          <w:iCs/>
          <w:sz w:val="24"/>
          <w:szCs w:val="24"/>
        </w:rPr>
        <w:t> </w:t>
      </w:r>
      <w:r w:rsidRPr="003E7D0A">
        <w:rPr>
          <w:rFonts w:ascii="Arial" w:hAnsi="Arial" w:cs="Arial"/>
          <w:bCs/>
          <w:sz w:val="24"/>
          <w:szCs w:val="24"/>
        </w:rPr>
        <w:t>[Internet] 2019 [</w:t>
      </w:r>
      <w:proofErr w:type="spellStart"/>
      <w:r w:rsidR="003E7D0A" w:rsidRPr="00166E17">
        <w:rPr>
          <w:rFonts w:ascii="Arial" w:hAnsi="Arial" w:cs="Arial"/>
          <w:sz w:val="24"/>
          <w:szCs w:val="24"/>
          <w:lang w:val="fr-FR"/>
        </w:rPr>
        <w:t>c</w:t>
      </w:r>
      <w:r w:rsidR="003E7D0A">
        <w:rPr>
          <w:rFonts w:ascii="Arial" w:hAnsi="Arial" w:cs="Arial"/>
          <w:sz w:val="24"/>
          <w:szCs w:val="24"/>
          <w:lang w:val="fr-FR"/>
        </w:rPr>
        <w:t>onsul</w:t>
      </w:r>
      <w:r w:rsidR="003E7D0A" w:rsidRPr="00166E17">
        <w:rPr>
          <w:rFonts w:ascii="Arial" w:hAnsi="Arial" w:cs="Arial"/>
          <w:sz w:val="24"/>
          <w:szCs w:val="24"/>
          <w:lang w:val="fr-FR"/>
        </w:rPr>
        <w:t>tado</w:t>
      </w:r>
      <w:proofErr w:type="spellEnd"/>
      <w:r w:rsidRPr="003E7D0A">
        <w:rPr>
          <w:rFonts w:ascii="Arial" w:hAnsi="Arial" w:cs="Arial"/>
          <w:bCs/>
          <w:sz w:val="24"/>
          <w:szCs w:val="24"/>
        </w:rPr>
        <w:t xml:space="preserve"> 4 </w:t>
      </w:r>
      <w:r w:rsidR="003E7D0A">
        <w:rPr>
          <w:rFonts w:ascii="Arial" w:hAnsi="Arial" w:cs="Arial"/>
          <w:bCs/>
          <w:sz w:val="24"/>
          <w:szCs w:val="24"/>
        </w:rPr>
        <w:t>Abr</w:t>
      </w:r>
      <w:r w:rsidRPr="003E7D0A">
        <w:rPr>
          <w:rFonts w:ascii="Arial" w:hAnsi="Arial" w:cs="Arial"/>
          <w:bCs/>
          <w:sz w:val="24"/>
          <w:szCs w:val="24"/>
        </w:rPr>
        <w:t xml:space="preserve"> 2019]; 4 (32): eaau9079. </w:t>
      </w:r>
      <w:r w:rsidRPr="00166E17">
        <w:rPr>
          <w:rFonts w:ascii="Arial" w:hAnsi="Arial" w:cs="Arial"/>
          <w:bCs/>
          <w:sz w:val="24"/>
          <w:szCs w:val="24"/>
        </w:rPr>
        <w:t xml:space="preserve">Disponible en: </w:t>
      </w:r>
      <w:hyperlink r:id="rId13" w:history="1">
        <w:r w:rsidRPr="00166E17">
          <w:rPr>
            <w:rStyle w:val="Hipervnculo"/>
            <w:rFonts w:ascii="Arial" w:hAnsi="Arial" w:cs="Arial"/>
            <w:sz w:val="24"/>
            <w:szCs w:val="24"/>
          </w:rPr>
          <w:t>http://immunology.sciencemag.org/content/4/32/eaau9079/</w:t>
        </w:r>
      </w:hyperlink>
    </w:p>
    <w:p w:rsidR="00AD303F" w:rsidRPr="00AD303F" w:rsidRDefault="00ED7192" w:rsidP="00AD303F">
      <w:pPr>
        <w:pStyle w:val="Prrafodelista"/>
        <w:numPr>
          <w:ilvl w:val="0"/>
          <w:numId w:val="1"/>
        </w:numPr>
        <w:spacing w:line="360" w:lineRule="auto"/>
        <w:jc w:val="both"/>
        <w:rPr>
          <w:rStyle w:val="Hipervnculo"/>
          <w:rFonts w:ascii="Arial" w:hAnsi="Arial" w:cs="Arial"/>
          <w:color w:val="auto"/>
          <w:sz w:val="24"/>
          <w:szCs w:val="24"/>
          <w:u w:val="none"/>
        </w:rPr>
      </w:pPr>
      <w:r w:rsidRPr="003E7D0A">
        <w:rPr>
          <w:rFonts w:ascii="Arial" w:hAnsi="Arial" w:cs="Arial"/>
          <w:sz w:val="24"/>
          <w:szCs w:val="24"/>
          <w:lang w:val="en-US"/>
        </w:rPr>
        <w:t xml:space="preserve">Lazar V, </w:t>
      </w:r>
      <w:proofErr w:type="spellStart"/>
      <w:r w:rsidRPr="003E7D0A">
        <w:rPr>
          <w:rFonts w:ascii="Arial" w:hAnsi="Arial" w:cs="Arial"/>
          <w:sz w:val="24"/>
          <w:szCs w:val="24"/>
          <w:lang w:val="en-US"/>
        </w:rPr>
        <w:t>Ditu</w:t>
      </w:r>
      <w:proofErr w:type="spellEnd"/>
      <w:r w:rsidRPr="003E7D0A">
        <w:rPr>
          <w:rFonts w:ascii="Arial" w:hAnsi="Arial" w:cs="Arial"/>
          <w:sz w:val="24"/>
          <w:szCs w:val="24"/>
          <w:lang w:val="en-US"/>
        </w:rPr>
        <w:t xml:space="preserve"> LM, </w:t>
      </w:r>
      <w:proofErr w:type="spellStart"/>
      <w:r w:rsidRPr="003E7D0A">
        <w:rPr>
          <w:rFonts w:ascii="Arial" w:hAnsi="Arial" w:cs="Arial"/>
          <w:sz w:val="24"/>
          <w:szCs w:val="24"/>
          <w:lang w:val="en-US"/>
        </w:rPr>
        <w:t>Pircalabioru</w:t>
      </w:r>
      <w:proofErr w:type="spellEnd"/>
      <w:r w:rsidRPr="003E7D0A">
        <w:rPr>
          <w:rFonts w:ascii="Arial" w:hAnsi="Arial" w:cs="Arial"/>
          <w:sz w:val="24"/>
          <w:szCs w:val="24"/>
          <w:lang w:val="en-US"/>
        </w:rPr>
        <w:t xml:space="preserve"> GG, Gheorghe I, </w:t>
      </w:r>
      <w:proofErr w:type="spellStart"/>
      <w:r w:rsidRPr="003E7D0A">
        <w:rPr>
          <w:rFonts w:ascii="Arial" w:hAnsi="Arial" w:cs="Arial"/>
          <w:sz w:val="24"/>
          <w:szCs w:val="24"/>
          <w:lang w:val="en-US"/>
        </w:rPr>
        <w:t>Curutiu</w:t>
      </w:r>
      <w:proofErr w:type="spellEnd"/>
      <w:r w:rsidRPr="003E7D0A">
        <w:rPr>
          <w:rFonts w:ascii="Arial" w:hAnsi="Arial" w:cs="Arial"/>
          <w:sz w:val="24"/>
          <w:szCs w:val="24"/>
          <w:lang w:val="en-US"/>
        </w:rPr>
        <w:t xml:space="preserve"> C, </w:t>
      </w:r>
      <w:proofErr w:type="spellStart"/>
      <w:r w:rsidRPr="003E7D0A">
        <w:rPr>
          <w:rFonts w:ascii="Arial" w:hAnsi="Arial" w:cs="Arial"/>
          <w:sz w:val="24"/>
          <w:szCs w:val="24"/>
          <w:lang w:val="en-US"/>
        </w:rPr>
        <w:t>Holban</w:t>
      </w:r>
      <w:proofErr w:type="spellEnd"/>
      <w:r w:rsidRPr="003E7D0A">
        <w:rPr>
          <w:rFonts w:ascii="Arial" w:hAnsi="Arial" w:cs="Arial"/>
          <w:sz w:val="24"/>
          <w:szCs w:val="24"/>
          <w:lang w:val="en-US"/>
        </w:rPr>
        <w:t xml:space="preserve"> AM, et al. </w:t>
      </w:r>
      <w:r w:rsidRPr="00166E17">
        <w:rPr>
          <w:rFonts w:ascii="Arial" w:hAnsi="Arial" w:cs="Arial"/>
          <w:sz w:val="24"/>
          <w:szCs w:val="24"/>
          <w:lang w:val="en-US"/>
        </w:rPr>
        <w:t xml:space="preserve">Aspects of Gut Microbiota and Immune System Interactions in Infectious Diseases, Immunopathology, and </w:t>
      </w:r>
      <w:r w:rsidRPr="00166E17">
        <w:rPr>
          <w:rFonts w:ascii="Arial" w:hAnsi="Arial" w:cs="Arial"/>
          <w:sz w:val="24"/>
          <w:szCs w:val="24"/>
          <w:lang w:val="en-US"/>
        </w:rPr>
        <w:lastRenderedPageBreak/>
        <w:t xml:space="preserve">Cancer. </w:t>
      </w:r>
      <w:r w:rsidRPr="003E7D0A">
        <w:rPr>
          <w:rFonts w:ascii="Arial" w:hAnsi="Arial" w:cs="Arial"/>
          <w:sz w:val="24"/>
          <w:szCs w:val="24"/>
        </w:rPr>
        <w:t xml:space="preserve">Front </w:t>
      </w:r>
      <w:proofErr w:type="spellStart"/>
      <w:r w:rsidRPr="003E7D0A">
        <w:rPr>
          <w:rFonts w:ascii="Arial" w:hAnsi="Arial" w:cs="Arial"/>
          <w:sz w:val="24"/>
          <w:szCs w:val="24"/>
        </w:rPr>
        <w:t>Immunol</w:t>
      </w:r>
      <w:proofErr w:type="spellEnd"/>
      <w:r w:rsidRPr="003E7D0A">
        <w:rPr>
          <w:rFonts w:ascii="Arial" w:hAnsi="Arial" w:cs="Arial"/>
          <w:sz w:val="24"/>
          <w:szCs w:val="24"/>
        </w:rPr>
        <w:t xml:space="preserve"> [revista en Internet]. 2018 [</w:t>
      </w:r>
      <w:proofErr w:type="spellStart"/>
      <w:r w:rsidR="003E7D0A" w:rsidRPr="00166E17">
        <w:rPr>
          <w:rFonts w:ascii="Arial" w:hAnsi="Arial" w:cs="Arial"/>
          <w:sz w:val="24"/>
          <w:szCs w:val="24"/>
          <w:lang w:val="fr-FR"/>
        </w:rPr>
        <w:t>c</w:t>
      </w:r>
      <w:r w:rsidR="003E7D0A">
        <w:rPr>
          <w:rFonts w:ascii="Arial" w:hAnsi="Arial" w:cs="Arial"/>
          <w:sz w:val="24"/>
          <w:szCs w:val="24"/>
          <w:lang w:val="fr-FR"/>
        </w:rPr>
        <w:t>onsul</w:t>
      </w:r>
      <w:r w:rsidR="003E7D0A" w:rsidRPr="00166E17">
        <w:rPr>
          <w:rFonts w:ascii="Arial" w:hAnsi="Arial" w:cs="Arial"/>
          <w:sz w:val="24"/>
          <w:szCs w:val="24"/>
          <w:lang w:val="fr-FR"/>
        </w:rPr>
        <w:t>tado</w:t>
      </w:r>
      <w:proofErr w:type="spellEnd"/>
      <w:r w:rsidRPr="003E7D0A">
        <w:rPr>
          <w:rFonts w:ascii="Arial" w:hAnsi="Arial" w:cs="Arial"/>
          <w:sz w:val="24"/>
          <w:szCs w:val="24"/>
        </w:rPr>
        <w:t xml:space="preserve"> 4 Feb 2019]; 9:1830. Disponible en: </w:t>
      </w:r>
      <w:hyperlink r:id="rId14" w:history="1">
        <w:r w:rsidRPr="00166E17">
          <w:rPr>
            <w:rStyle w:val="Hipervnculo"/>
            <w:rFonts w:ascii="Arial" w:hAnsi="Arial" w:cs="Arial"/>
            <w:sz w:val="24"/>
            <w:szCs w:val="24"/>
          </w:rPr>
          <w:t>https://www.ncbi.nlm.nih.gov/pmc/articles/PMC6104162/</w:t>
        </w:r>
      </w:hyperlink>
    </w:p>
    <w:p w:rsidR="00166E17" w:rsidRPr="00AD303F" w:rsidRDefault="00ED7192" w:rsidP="00AD303F">
      <w:pPr>
        <w:pStyle w:val="Prrafodelista"/>
        <w:numPr>
          <w:ilvl w:val="0"/>
          <w:numId w:val="1"/>
        </w:numPr>
        <w:spacing w:line="360" w:lineRule="auto"/>
        <w:jc w:val="both"/>
        <w:rPr>
          <w:rStyle w:val="Hipervnculo"/>
          <w:rFonts w:ascii="Arial" w:hAnsi="Arial" w:cs="Arial"/>
          <w:color w:val="auto"/>
          <w:sz w:val="24"/>
          <w:szCs w:val="24"/>
          <w:u w:val="none"/>
        </w:rPr>
      </w:pPr>
      <w:r w:rsidRPr="00AD303F">
        <w:rPr>
          <w:rFonts w:ascii="Arial" w:hAnsi="Arial" w:cs="Arial"/>
          <w:sz w:val="24"/>
          <w:szCs w:val="24"/>
        </w:rPr>
        <w:t>Padrón-González AA, González-Costa M. Glutamato, eje hipotálamo-</w:t>
      </w:r>
      <w:proofErr w:type="spellStart"/>
      <w:r w:rsidRPr="00AD303F">
        <w:rPr>
          <w:rFonts w:ascii="Arial" w:hAnsi="Arial" w:cs="Arial"/>
          <w:sz w:val="24"/>
          <w:szCs w:val="24"/>
        </w:rPr>
        <w:t>hipófiso</w:t>
      </w:r>
      <w:proofErr w:type="spellEnd"/>
      <w:r w:rsidRPr="00AD303F">
        <w:rPr>
          <w:rFonts w:ascii="Arial" w:hAnsi="Arial" w:cs="Arial"/>
          <w:sz w:val="24"/>
          <w:szCs w:val="24"/>
        </w:rPr>
        <w:t xml:space="preserve">-adrenal y manifestaciones clínicas en la esclerosis múltiple. </w:t>
      </w:r>
      <w:proofErr w:type="spellStart"/>
      <w:r w:rsidRPr="00AD303F">
        <w:rPr>
          <w:rFonts w:ascii="Arial" w:hAnsi="Arial" w:cs="Arial"/>
          <w:sz w:val="24"/>
          <w:szCs w:val="24"/>
        </w:rPr>
        <w:t>Rev</w:t>
      </w:r>
      <w:proofErr w:type="spellEnd"/>
      <w:r w:rsidRPr="00AD303F">
        <w:rPr>
          <w:rFonts w:ascii="Arial" w:hAnsi="Arial" w:cs="Arial"/>
          <w:sz w:val="24"/>
          <w:szCs w:val="24"/>
        </w:rPr>
        <w:t xml:space="preserve"> </w:t>
      </w:r>
      <w:proofErr w:type="spellStart"/>
      <w:r w:rsidRPr="00AD303F">
        <w:rPr>
          <w:rFonts w:ascii="Arial" w:hAnsi="Arial" w:cs="Arial"/>
          <w:sz w:val="24"/>
          <w:szCs w:val="24"/>
        </w:rPr>
        <w:t>Neurol</w:t>
      </w:r>
      <w:proofErr w:type="spellEnd"/>
      <w:r w:rsidRPr="00AD303F">
        <w:rPr>
          <w:rFonts w:ascii="Arial" w:hAnsi="Arial" w:cs="Arial"/>
          <w:sz w:val="24"/>
          <w:szCs w:val="24"/>
        </w:rPr>
        <w:t xml:space="preserve"> [revista en Internet]. 2019 [</w:t>
      </w:r>
      <w:proofErr w:type="spellStart"/>
      <w:r w:rsidR="003E7D0A" w:rsidRPr="00166E17">
        <w:rPr>
          <w:rFonts w:ascii="Arial" w:hAnsi="Arial" w:cs="Arial"/>
          <w:sz w:val="24"/>
          <w:szCs w:val="24"/>
          <w:lang w:val="fr-FR"/>
        </w:rPr>
        <w:t>c</w:t>
      </w:r>
      <w:r w:rsidR="003E7D0A">
        <w:rPr>
          <w:rFonts w:ascii="Arial" w:hAnsi="Arial" w:cs="Arial"/>
          <w:sz w:val="24"/>
          <w:szCs w:val="24"/>
          <w:lang w:val="fr-FR"/>
        </w:rPr>
        <w:t>onsul</w:t>
      </w:r>
      <w:r w:rsidR="003E7D0A" w:rsidRPr="00166E17">
        <w:rPr>
          <w:rFonts w:ascii="Arial" w:hAnsi="Arial" w:cs="Arial"/>
          <w:sz w:val="24"/>
          <w:szCs w:val="24"/>
          <w:lang w:val="fr-FR"/>
        </w:rPr>
        <w:t>tado</w:t>
      </w:r>
      <w:proofErr w:type="spellEnd"/>
      <w:r w:rsidRPr="00AD303F">
        <w:rPr>
          <w:rFonts w:ascii="Arial" w:hAnsi="Arial" w:cs="Arial"/>
          <w:sz w:val="24"/>
          <w:szCs w:val="24"/>
        </w:rPr>
        <w:t xml:space="preserve"> </w:t>
      </w:r>
      <w:r w:rsidR="00AD303F" w:rsidRPr="00AD303F">
        <w:rPr>
          <w:rFonts w:ascii="Arial" w:hAnsi="Arial" w:cs="Arial"/>
          <w:sz w:val="24"/>
          <w:szCs w:val="24"/>
        </w:rPr>
        <w:t>4 Feb</w:t>
      </w:r>
      <w:r w:rsidRPr="00AD303F">
        <w:rPr>
          <w:rFonts w:ascii="Arial" w:hAnsi="Arial" w:cs="Arial"/>
          <w:sz w:val="24"/>
          <w:szCs w:val="24"/>
        </w:rPr>
        <w:t xml:space="preserve"> 2019]; 68: 134. Disponible en: </w:t>
      </w:r>
      <w:hyperlink r:id="rId15" w:history="1">
        <w:r w:rsidRPr="00AD303F">
          <w:rPr>
            <w:rStyle w:val="Hipervnculo"/>
            <w:rFonts w:ascii="Arial" w:hAnsi="Arial" w:cs="Arial"/>
            <w:sz w:val="24"/>
            <w:szCs w:val="24"/>
          </w:rPr>
          <w:t>https://www.neurologia.com/articulo/2018479</w:t>
        </w:r>
      </w:hyperlink>
    </w:p>
    <w:p w:rsidR="00AD303F" w:rsidRPr="00AD303F" w:rsidRDefault="00ED7192" w:rsidP="00AD303F">
      <w:pPr>
        <w:pStyle w:val="Prrafodelista"/>
        <w:numPr>
          <w:ilvl w:val="0"/>
          <w:numId w:val="1"/>
        </w:numPr>
        <w:spacing w:line="360" w:lineRule="auto"/>
        <w:jc w:val="both"/>
        <w:rPr>
          <w:rStyle w:val="Hipervnculo"/>
          <w:rFonts w:ascii="Arial" w:hAnsi="Arial" w:cs="Arial"/>
          <w:color w:val="auto"/>
          <w:sz w:val="24"/>
          <w:szCs w:val="24"/>
          <w:u w:val="none"/>
        </w:rPr>
      </w:pPr>
      <w:proofErr w:type="spellStart"/>
      <w:r w:rsidRPr="00166E17">
        <w:rPr>
          <w:rFonts w:ascii="Arial" w:hAnsi="Arial" w:cs="Arial"/>
          <w:sz w:val="24"/>
          <w:szCs w:val="24"/>
        </w:rPr>
        <w:t>Gomez</w:t>
      </w:r>
      <w:proofErr w:type="spellEnd"/>
      <w:r w:rsidRPr="00166E17">
        <w:rPr>
          <w:rFonts w:ascii="Arial" w:hAnsi="Arial" w:cs="Arial"/>
          <w:sz w:val="24"/>
          <w:szCs w:val="24"/>
        </w:rPr>
        <w:t xml:space="preserve">-Rial J, </w:t>
      </w:r>
      <w:proofErr w:type="spellStart"/>
      <w:r w:rsidRPr="00166E17">
        <w:rPr>
          <w:rFonts w:ascii="Arial" w:hAnsi="Arial" w:cs="Arial"/>
          <w:sz w:val="24"/>
          <w:szCs w:val="24"/>
        </w:rPr>
        <w:t>Sanchez</w:t>
      </w:r>
      <w:proofErr w:type="spellEnd"/>
      <w:r w:rsidRPr="00166E17">
        <w:rPr>
          <w:rFonts w:ascii="Arial" w:hAnsi="Arial" w:cs="Arial"/>
          <w:sz w:val="24"/>
          <w:szCs w:val="24"/>
        </w:rPr>
        <w:t xml:space="preserve">-Batan S, Rivero-Calle I, Pardo-Seco J, Martinon-Martinez JM, Salas A, et al. </w:t>
      </w:r>
      <w:r w:rsidRPr="003E7D0A">
        <w:rPr>
          <w:rFonts w:ascii="Arial" w:hAnsi="Arial" w:cs="Arial"/>
          <w:sz w:val="24"/>
          <w:szCs w:val="24"/>
          <w:lang w:val="en-US"/>
        </w:rPr>
        <w:t>Rotavirus infection beyond the gut. Infection and drug resistance [Internet] 2019 [</w:t>
      </w:r>
      <w:proofErr w:type="spellStart"/>
      <w:r w:rsidR="003E7D0A" w:rsidRPr="00166E17">
        <w:rPr>
          <w:rFonts w:ascii="Arial" w:hAnsi="Arial" w:cs="Arial"/>
          <w:sz w:val="24"/>
          <w:szCs w:val="24"/>
          <w:lang w:val="fr-FR"/>
        </w:rPr>
        <w:t>c</w:t>
      </w:r>
      <w:r w:rsidR="003E7D0A">
        <w:rPr>
          <w:rFonts w:ascii="Arial" w:hAnsi="Arial" w:cs="Arial"/>
          <w:sz w:val="24"/>
          <w:szCs w:val="24"/>
          <w:lang w:val="fr-FR"/>
        </w:rPr>
        <w:t>onsul</w:t>
      </w:r>
      <w:r w:rsidR="003E7D0A" w:rsidRPr="00166E17">
        <w:rPr>
          <w:rFonts w:ascii="Arial" w:hAnsi="Arial" w:cs="Arial"/>
          <w:sz w:val="24"/>
          <w:szCs w:val="24"/>
          <w:lang w:val="fr-FR"/>
        </w:rPr>
        <w:t>tado</w:t>
      </w:r>
      <w:proofErr w:type="spellEnd"/>
      <w:r w:rsidRPr="003E7D0A">
        <w:rPr>
          <w:rFonts w:ascii="Arial" w:hAnsi="Arial" w:cs="Arial"/>
          <w:sz w:val="24"/>
          <w:szCs w:val="24"/>
          <w:lang w:val="en-US"/>
        </w:rPr>
        <w:t xml:space="preserve"> 11 </w:t>
      </w:r>
      <w:proofErr w:type="spellStart"/>
      <w:r w:rsidR="003E7D0A">
        <w:rPr>
          <w:rFonts w:ascii="Arial" w:hAnsi="Arial" w:cs="Arial"/>
          <w:sz w:val="24"/>
          <w:szCs w:val="24"/>
          <w:lang w:val="en-US"/>
        </w:rPr>
        <w:t>Abr</w:t>
      </w:r>
      <w:proofErr w:type="spellEnd"/>
      <w:r w:rsidRPr="003E7D0A">
        <w:rPr>
          <w:rFonts w:ascii="Arial" w:hAnsi="Arial" w:cs="Arial"/>
          <w:sz w:val="24"/>
          <w:szCs w:val="24"/>
          <w:lang w:val="en-US"/>
        </w:rPr>
        <w:t xml:space="preserve"> 201</w:t>
      </w:r>
      <w:r w:rsidR="003E7D0A">
        <w:rPr>
          <w:rFonts w:ascii="Arial" w:hAnsi="Arial" w:cs="Arial"/>
          <w:sz w:val="24"/>
          <w:szCs w:val="24"/>
          <w:lang w:val="en-US"/>
        </w:rPr>
        <w:t>9</w:t>
      </w:r>
      <w:r w:rsidRPr="003E7D0A">
        <w:rPr>
          <w:rFonts w:ascii="Arial" w:hAnsi="Arial" w:cs="Arial"/>
          <w:sz w:val="24"/>
          <w:szCs w:val="24"/>
          <w:lang w:val="en-US"/>
        </w:rPr>
        <w:t>]</w:t>
      </w:r>
      <w:proofErr w:type="gramStart"/>
      <w:r w:rsidRPr="003E7D0A">
        <w:rPr>
          <w:rFonts w:ascii="Arial" w:hAnsi="Arial" w:cs="Arial"/>
          <w:sz w:val="24"/>
          <w:szCs w:val="24"/>
          <w:lang w:val="en-US"/>
        </w:rPr>
        <w:t>;12</w:t>
      </w:r>
      <w:proofErr w:type="gramEnd"/>
      <w:r w:rsidR="00AD303F" w:rsidRPr="003E7D0A">
        <w:rPr>
          <w:rFonts w:ascii="Arial" w:hAnsi="Arial" w:cs="Arial"/>
          <w:sz w:val="24"/>
          <w:szCs w:val="24"/>
          <w:lang w:val="en-US"/>
        </w:rPr>
        <w:t xml:space="preserve"> </w:t>
      </w:r>
      <w:r w:rsidRPr="003E7D0A">
        <w:rPr>
          <w:rFonts w:ascii="Arial" w:hAnsi="Arial" w:cs="Arial"/>
          <w:sz w:val="24"/>
          <w:szCs w:val="24"/>
          <w:lang w:val="en-US"/>
        </w:rPr>
        <w:t xml:space="preserve">:55-64. </w:t>
      </w:r>
      <w:r w:rsidRPr="00166E17">
        <w:rPr>
          <w:rFonts w:ascii="Arial" w:hAnsi="Arial" w:cs="Arial"/>
          <w:sz w:val="24"/>
          <w:szCs w:val="24"/>
        </w:rPr>
        <w:t xml:space="preserve">Disponible en:  </w:t>
      </w:r>
      <w:hyperlink r:id="rId16" w:history="1">
        <w:r w:rsidRPr="00166E17">
          <w:rPr>
            <w:rStyle w:val="Hipervnculo"/>
            <w:rFonts w:ascii="Arial" w:hAnsi="Arial" w:cs="Arial"/>
            <w:sz w:val="24"/>
            <w:szCs w:val="24"/>
          </w:rPr>
          <w:t>https://www.ncbi.nlm.nih.gov/pmc/articles/PMC6307677/</w:t>
        </w:r>
      </w:hyperlink>
    </w:p>
    <w:sectPr w:rsidR="00AD303F" w:rsidRPr="00AD303F" w:rsidSect="00166E17">
      <w:pgSz w:w="12242" w:h="15842" w:code="1"/>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Mono">
    <w:charset w:val="00"/>
    <w:family w:val="modern"/>
    <w:pitch w:val="fixed"/>
    <w:sig w:usb0="E0000AFF" w:usb1="400078FF" w:usb2="00000001" w:usb3="00000000" w:csb0="000001BF" w:csb1="00000000"/>
  </w:font>
  <w:font w:name="NSimSun">
    <w:panose1 w:val="02010609030101010101"/>
    <w:charset w:val="86"/>
    <w:family w:val="modern"/>
    <w:pitch w:val="fixed"/>
    <w:sig w:usb0="00000003" w:usb1="288F0000" w:usb2="00000016" w:usb3="00000000" w:csb0="00040001"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BookmanOldStyle">
    <w:altName w:val="MS Gothic"/>
    <w:panose1 w:val="00000000000000000000"/>
    <w:charset w:val="80"/>
    <w:family w:val="auto"/>
    <w:notTrueType/>
    <w:pitch w:val="default"/>
    <w:sig w:usb0="00000000" w:usb1="08070000" w:usb2="00000010" w:usb3="00000000" w:csb0="00020000" w:csb1="00000000"/>
  </w:font>
  <w:font w:name="TimesNewRomanPSMT">
    <w:altName w:val="Arial Unicode MS"/>
    <w:charset w:val="8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6D7E"/>
    <w:multiLevelType w:val="hybridMultilevel"/>
    <w:tmpl w:val="49409062"/>
    <w:lvl w:ilvl="0" w:tplc="D76E41E4">
      <w:start w:val="1"/>
      <w:numFmt w:val="decimal"/>
      <w:lvlText w:val="%1-"/>
      <w:lvlJc w:val="left"/>
      <w:pPr>
        <w:ind w:left="360" w:hanging="360"/>
      </w:pPr>
      <w:rPr>
        <w:rFonts w:hint="default"/>
        <w:b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621432E"/>
    <w:multiLevelType w:val="hybridMultilevel"/>
    <w:tmpl w:val="FCBA3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4861A6"/>
    <w:multiLevelType w:val="hybridMultilevel"/>
    <w:tmpl w:val="5CBC08DA"/>
    <w:lvl w:ilvl="0" w:tplc="D76E41E4">
      <w:start w:val="1"/>
      <w:numFmt w:val="decimal"/>
      <w:lvlText w:val="%1-"/>
      <w:lvlJc w:val="left"/>
      <w:pPr>
        <w:ind w:left="644" w:hanging="360"/>
      </w:pPr>
      <w:rPr>
        <w:rFonts w:hint="default"/>
        <w:b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899617D"/>
    <w:multiLevelType w:val="hybridMultilevel"/>
    <w:tmpl w:val="B9C0AC86"/>
    <w:lvl w:ilvl="0" w:tplc="C2CC9E56">
      <w:start w:val="10"/>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5737E4"/>
    <w:multiLevelType w:val="hybridMultilevel"/>
    <w:tmpl w:val="5DF28188"/>
    <w:lvl w:ilvl="0" w:tplc="90A221F6">
      <w:start w:val="1"/>
      <w:numFmt w:val="decimal"/>
      <w:lvlText w:val="%1-"/>
      <w:lvlJc w:val="left"/>
      <w:pPr>
        <w:ind w:left="36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423"/>
    <w:rsid w:val="000604F5"/>
    <w:rsid w:val="00132BF3"/>
    <w:rsid w:val="00166E17"/>
    <w:rsid w:val="00167A2F"/>
    <w:rsid w:val="00190D37"/>
    <w:rsid w:val="00231671"/>
    <w:rsid w:val="00282423"/>
    <w:rsid w:val="00311C7E"/>
    <w:rsid w:val="00391675"/>
    <w:rsid w:val="003A2F70"/>
    <w:rsid w:val="003B526E"/>
    <w:rsid w:val="003C423A"/>
    <w:rsid w:val="003E7D0A"/>
    <w:rsid w:val="00422B0D"/>
    <w:rsid w:val="00463086"/>
    <w:rsid w:val="00472FA1"/>
    <w:rsid w:val="004E6A65"/>
    <w:rsid w:val="00512EAC"/>
    <w:rsid w:val="005247E8"/>
    <w:rsid w:val="005528B1"/>
    <w:rsid w:val="00583595"/>
    <w:rsid w:val="0059682A"/>
    <w:rsid w:val="005F792E"/>
    <w:rsid w:val="00604567"/>
    <w:rsid w:val="00641C0B"/>
    <w:rsid w:val="006F30C5"/>
    <w:rsid w:val="007B4E36"/>
    <w:rsid w:val="008124D7"/>
    <w:rsid w:val="008542CF"/>
    <w:rsid w:val="008703D2"/>
    <w:rsid w:val="008E0BE9"/>
    <w:rsid w:val="009155B2"/>
    <w:rsid w:val="00934839"/>
    <w:rsid w:val="0099731E"/>
    <w:rsid w:val="009E7D1B"/>
    <w:rsid w:val="009F2998"/>
    <w:rsid w:val="00AD303F"/>
    <w:rsid w:val="00AF1AA3"/>
    <w:rsid w:val="00AF262A"/>
    <w:rsid w:val="00B446A4"/>
    <w:rsid w:val="00B4786D"/>
    <w:rsid w:val="00B72F44"/>
    <w:rsid w:val="00BF0832"/>
    <w:rsid w:val="00C279EB"/>
    <w:rsid w:val="00C81D64"/>
    <w:rsid w:val="00C90680"/>
    <w:rsid w:val="00CD7A75"/>
    <w:rsid w:val="00D03F72"/>
    <w:rsid w:val="00D11C6D"/>
    <w:rsid w:val="00D3322C"/>
    <w:rsid w:val="00D85385"/>
    <w:rsid w:val="00DC217E"/>
    <w:rsid w:val="00DE1CCD"/>
    <w:rsid w:val="00E53144"/>
    <w:rsid w:val="00ED7192"/>
    <w:rsid w:val="00F3264D"/>
    <w:rsid w:val="00F412C3"/>
    <w:rsid w:val="00FA739E"/>
    <w:rsid w:val="00FC4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423"/>
    <w:pPr>
      <w:spacing w:after="200" w:line="276" w:lineRule="auto"/>
    </w:pPr>
    <w:rPr>
      <w:rFonts w:ascii="Calibri" w:eastAsia="Calibri" w:hAnsi="Calibri" w:cs="Times New Roman"/>
      <w:lang w:val="es-ES"/>
    </w:rPr>
  </w:style>
  <w:style w:type="paragraph" w:styleId="Ttulo2">
    <w:name w:val="heading 2"/>
    <w:basedOn w:val="Normal"/>
    <w:next w:val="Textoindependiente"/>
    <w:link w:val="Ttulo2Car"/>
    <w:qFormat/>
    <w:rsid w:val="009E7D1B"/>
    <w:pPr>
      <w:tabs>
        <w:tab w:val="num" w:pos="0"/>
      </w:tabs>
      <w:suppressAutoHyphens/>
      <w:spacing w:before="280" w:after="280" w:line="240" w:lineRule="auto"/>
      <w:ind w:left="720" w:hanging="360"/>
      <w:outlineLvl w:val="1"/>
    </w:pPr>
    <w:rPr>
      <w:rFonts w:ascii="Times New Roman" w:eastAsia="Times New Roman" w:hAnsi="Times New Roman"/>
      <w:b/>
      <w:bCs/>
      <w:sz w:val="36"/>
      <w:szCs w:val="36"/>
      <w:lang w:val="x-none"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282423"/>
    <w:rPr>
      <w:color w:val="0000FF"/>
      <w:u w:val="single"/>
    </w:rPr>
  </w:style>
  <w:style w:type="paragraph" w:customStyle="1" w:styleId="Textopreformateado">
    <w:name w:val="Texto preformateado"/>
    <w:basedOn w:val="Normal"/>
    <w:rsid w:val="00282423"/>
    <w:pPr>
      <w:suppressAutoHyphens/>
      <w:spacing w:after="0" w:line="252" w:lineRule="auto"/>
    </w:pPr>
    <w:rPr>
      <w:rFonts w:ascii="Liberation Mono" w:eastAsia="NSimSun" w:hAnsi="Liberation Mono" w:cs="Liberation Mono"/>
      <w:sz w:val="20"/>
      <w:szCs w:val="20"/>
      <w:lang w:val="es-MX" w:eastAsia="zh-CN"/>
    </w:rPr>
  </w:style>
  <w:style w:type="paragraph" w:styleId="Textoindependiente">
    <w:name w:val="Body Text"/>
    <w:basedOn w:val="Normal"/>
    <w:link w:val="TextoindependienteCar"/>
    <w:uiPriority w:val="99"/>
    <w:semiHidden/>
    <w:unhideWhenUsed/>
    <w:rsid w:val="00C279EB"/>
    <w:pPr>
      <w:spacing w:after="120"/>
    </w:pPr>
  </w:style>
  <w:style w:type="character" w:customStyle="1" w:styleId="TextoindependienteCar">
    <w:name w:val="Texto independiente Car"/>
    <w:basedOn w:val="Fuentedeprrafopredeter"/>
    <w:link w:val="Textoindependiente"/>
    <w:uiPriority w:val="99"/>
    <w:semiHidden/>
    <w:rsid w:val="00C279EB"/>
    <w:rPr>
      <w:rFonts w:ascii="Calibri" w:eastAsia="Calibri" w:hAnsi="Calibri" w:cs="Times New Roman"/>
      <w:lang w:val="es-ES"/>
    </w:rPr>
  </w:style>
  <w:style w:type="paragraph" w:styleId="NormalWeb">
    <w:name w:val="Normal (Web)"/>
    <w:basedOn w:val="Normal"/>
    <w:uiPriority w:val="99"/>
    <w:rsid w:val="00C279EB"/>
    <w:pPr>
      <w:suppressAutoHyphens/>
      <w:spacing w:before="280" w:after="280" w:line="240" w:lineRule="auto"/>
    </w:pPr>
    <w:rPr>
      <w:rFonts w:ascii="Times New Roman" w:eastAsia="Times New Roman" w:hAnsi="Times New Roman"/>
      <w:sz w:val="24"/>
      <w:szCs w:val="24"/>
      <w:lang w:eastAsia="zh-CN"/>
    </w:rPr>
  </w:style>
  <w:style w:type="character" w:styleId="nfasis">
    <w:name w:val="Emphasis"/>
    <w:uiPriority w:val="20"/>
    <w:qFormat/>
    <w:rsid w:val="00C279EB"/>
    <w:rPr>
      <w:i/>
      <w:iCs/>
    </w:rPr>
  </w:style>
  <w:style w:type="character" w:customStyle="1" w:styleId="Ttulo2Car">
    <w:name w:val="Título 2 Car"/>
    <w:basedOn w:val="Fuentedeprrafopredeter"/>
    <w:link w:val="Ttulo2"/>
    <w:rsid w:val="009E7D1B"/>
    <w:rPr>
      <w:rFonts w:ascii="Times New Roman" w:eastAsia="Times New Roman" w:hAnsi="Times New Roman" w:cs="Times New Roman"/>
      <w:b/>
      <w:bCs/>
      <w:sz w:val="36"/>
      <w:szCs w:val="36"/>
      <w:lang w:val="x-none" w:eastAsia="zh-CN"/>
    </w:rPr>
  </w:style>
  <w:style w:type="paragraph" w:customStyle="1" w:styleId="EndNoteBibliography">
    <w:name w:val="EndNote Bibliography"/>
    <w:basedOn w:val="Normal"/>
    <w:link w:val="EndNoteBibliographyCar"/>
    <w:rsid w:val="009E7D1B"/>
    <w:pPr>
      <w:spacing w:line="240" w:lineRule="auto"/>
    </w:pPr>
    <w:rPr>
      <w:noProof/>
      <w:szCs w:val="20"/>
      <w:lang w:val="en-US" w:eastAsia="x-none"/>
    </w:rPr>
  </w:style>
  <w:style w:type="character" w:customStyle="1" w:styleId="EndNoteBibliographyCar">
    <w:name w:val="EndNote Bibliography Car"/>
    <w:link w:val="EndNoteBibliography"/>
    <w:rsid w:val="009E7D1B"/>
    <w:rPr>
      <w:rFonts w:ascii="Calibri" w:eastAsia="Calibri" w:hAnsi="Calibri" w:cs="Times New Roman"/>
      <w:noProof/>
      <w:szCs w:val="20"/>
      <w:lang w:eastAsia="x-none"/>
    </w:rPr>
  </w:style>
  <w:style w:type="character" w:customStyle="1" w:styleId="cit">
    <w:name w:val="cit"/>
    <w:rsid w:val="009E7D1B"/>
  </w:style>
  <w:style w:type="paragraph" w:styleId="Prrafodelista">
    <w:name w:val="List Paragraph"/>
    <w:basedOn w:val="Normal"/>
    <w:uiPriority w:val="34"/>
    <w:qFormat/>
    <w:rsid w:val="009E7D1B"/>
    <w:pPr>
      <w:ind w:left="720"/>
      <w:contextualSpacing/>
    </w:pPr>
  </w:style>
  <w:style w:type="character" w:customStyle="1" w:styleId="articlecitationvolume">
    <w:name w:val="articlecitation_volume"/>
    <w:rsid w:val="009E7D1B"/>
  </w:style>
  <w:style w:type="character" w:customStyle="1" w:styleId="name">
    <w:name w:val="name"/>
    <w:rsid w:val="009E7D1B"/>
  </w:style>
  <w:style w:type="character" w:styleId="CitaHTML">
    <w:name w:val="HTML Cite"/>
    <w:uiPriority w:val="99"/>
    <w:semiHidden/>
    <w:unhideWhenUsed/>
    <w:rsid w:val="009E7D1B"/>
    <w:rPr>
      <w:i/>
      <w:iCs/>
    </w:rPr>
  </w:style>
  <w:style w:type="paragraph" w:customStyle="1" w:styleId="Pa0">
    <w:name w:val="Pa0"/>
    <w:basedOn w:val="Normal"/>
    <w:next w:val="Normal"/>
    <w:uiPriority w:val="99"/>
    <w:rsid w:val="009E7D1B"/>
    <w:pPr>
      <w:autoSpaceDE w:val="0"/>
      <w:autoSpaceDN w:val="0"/>
      <w:adjustRightInd w:val="0"/>
      <w:spacing w:after="0" w:line="201" w:lineRule="atLeast"/>
    </w:pPr>
    <w:rPr>
      <w:rFonts w:ascii="Franklin Gothic Book" w:hAnsi="Franklin Gothic Book"/>
      <w:sz w:val="24"/>
      <w:szCs w:val="24"/>
    </w:rPr>
  </w:style>
  <w:style w:type="character" w:customStyle="1" w:styleId="resumen">
    <w:name w:val="resumen"/>
    <w:rsid w:val="009E7D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423"/>
    <w:pPr>
      <w:spacing w:after="200" w:line="276" w:lineRule="auto"/>
    </w:pPr>
    <w:rPr>
      <w:rFonts w:ascii="Calibri" w:eastAsia="Calibri" w:hAnsi="Calibri" w:cs="Times New Roman"/>
      <w:lang w:val="es-ES"/>
    </w:rPr>
  </w:style>
  <w:style w:type="paragraph" w:styleId="Ttulo2">
    <w:name w:val="heading 2"/>
    <w:basedOn w:val="Normal"/>
    <w:next w:val="Textoindependiente"/>
    <w:link w:val="Ttulo2Car"/>
    <w:qFormat/>
    <w:rsid w:val="009E7D1B"/>
    <w:pPr>
      <w:tabs>
        <w:tab w:val="num" w:pos="0"/>
      </w:tabs>
      <w:suppressAutoHyphens/>
      <w:spacing w:before="280" w:after="280" w:line="240" w:lineRule="auto"/>
      <w:ind w:left="720" w:hanging="360"/>
      <w:outlineLvl w:val="1"/>
    </w:pPr>
    <w:rPr>
      <w:rFonts w:ascii="Times New Roman" w:eastAsia="Times New Roman" w:hAnsi="Times New Roman"/>
      <w:b/>
      <w:bCs/>
      <w:sz w:val="36"/>
      <w:szCs w:val="36"/>
      <w:lang w:val="x-none"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282423"/>
    <w:rPr>
      <w:color w:val="0000FF"/>
      <w:u w:val="single"/>
    </w:rPr>
  </w:style>
  <w:style w:type="paragraph" w:customStyle="1" w:styleId="Textopreformateado">
    <w:name w:val="Texto preformateado"/>
    <w:basedOn w:val="Normal"/>
    <w:rsid w:val="00282423"/>
    <w:pPr>
      <w:suppressAutoHyphens/>
      <w:spacing w:after="0" w:line="252" w:lineRule="auto"/>
    </w:pPr>
    <w:rPr>
      <w:rFonts w:ascii="Liberation Mono" w:eastAsia="NSimSun" w:hAnsi="Liberation Mono" w:cs="Liberation Mono"/>
      <w:sz w:val="20"/>
      <w:szCs w:val="20"/>
      <w:lang w:val="es-MX" w:eastAsia="zh-CN"/>
    </w:rPr>
  </w:style>
  <w:style w:type="paragraph" w:styleId="Textoindependiente">
    <w:name w:val="Body Text"/>
    <w:basedOn w:val="Normal"/>
    <w:link w:val="TextoindependienteCar"/>
    <w:uiPriority w:val="99"/>
    <w:semiHidden/>
    <w:unhideWhenUsed/>
    <w:rsid w:val="00C279EB"/>
    <w:pPr>
      <w:spacing w:after="120"/>
    </w:pPr>
  </w:style>
  <w:style w:type="character" w:customStyle="1" w:styleId="TextoindependienteCar">
    <w:name w:val="Texto independiente Car"/>
    <w:basedOn w:val="Fuentedeprrafopredeter"/>
    <w:link w:val="Textoindependiente"/>
    <w:uiPriority w:val="99"/>
    <w:semiHidden/>
    <w:rsid w:val="00C279EB"/>
    <w:rPr>
      <w:rFonts w:ascii="Calibri" w:eastAsia="Calibri" w:hAnsi="Calibri" w:cs="Times New Roman"/>
      <w:lang w:val="es-ES"/>
    </w:rPr>
  </w:style>
  <w:style w:type="paragraph" w:styleId="NormalWeb">
    <w:name w:val="Normal (Web)"/>
    <w:basedOn w:val="Normal"/>
    <w:uiPriority w:val="99"/>
    <w:rsid w:val="00C279EB"/>
    <w:pPr>
      <w:suppressAutoHyphens/>
      <w:spacing w:before="280" w:after="280" w:line="240" w:lineRule="auto"/>
    </w:pPr>
    <w:rPr>
      <w:rFonts w:ascii="Times New Roman" w:eastAsia="Times New Roman" w:hAnsi="Times New Roman"/>
      <w:sz w:val="24"/>
      <w:szCs w:val="24"/>
      <w:lang w:eastAsia="zh-CN"/>
    </w:rPr>
  </w:style>
  <w:style w:type="character" w:styleId="nfasis">
    <w:name w:val="Emphasis"/>
    <w:uiPriority w:val="20"/>
    <w:qFormat/>
    <w:rsid w:val="00C279EB"/>
    <w:rPr>
      <w:i/>
      <w:iCs/>
    </w:rPr>
  </w:style>
  <w:style w:type="character" w:customStyle="1" w:styleId="Ttulo2Car">
    <w:name w:val="Título 2 Car"/>
    <w:basedOn w:val="Fuentedeprrafopredeter"/>
    <w:link w:val="Ttulo2"/>
    <w:rsid w:val="009E7D1B"/>
    <w:rPr>
      <w:rFonts w:ascii="Times New Roman" w:eastAsia="Times New Roman" w:hAnsi="Times New Roman" w:cs="Times New Roman"/>
      <w:b/>
      <w:bCs/>
      <w:sz w:val="36"/>
      <w:szCs w:val="36"/>
      <w:lang w:val="x-none" w:eastAsia="zh-CN"/>
    </w:rPr>
  </w:style>
  <w:style w:type="paragraph" w:customStyle="1" w:styleId="EndNoteBibliography">
    <w:name w:val="EndNote Bibliography"/>
    <w:basedOn w:val="Normal"/>
    <w:link w:val="EndNoteBibliographyCar"/>
    <w:rsid w:val="009E7D1B"/>
    <w:pPr>
      <w:spacing w:line="240" w:lineRule="auto"/>
    </w:pPr>
    <w:rPr>
      <w:noProof/>
      <w:szCs w:val="20"/>
      <w:lang w:val="en-US" w:eastAsia="x-none"/>
    </w:rPr>
  </w:style>
  <w:style w:type="character" w:customStyle="1" w:styleId="EndNoteBibliographyCar">
    <w:name w:val="EndNote Bibliography Car"/>
    <w:link w:val="EndNoteBibliography"/>
    <w:rsid w:val="009E7D1B"/>
    <w:rPr>
      <w:rFonts w:ascii="Calibri" w:eastAsia="Calibri" w:hAnsi="Calibri" w:cs="Times New Roman"/>
      <w:noProof/>
      <w:szCs w:val="20"/>
      <w:lang w:eastAsia="x-none"/>
    </w:rPr>
  </w:style>
  <w:style w:type="character" w:customStyle="1" w:styleId="cit">
    <w:name w:val="cit"/>
    <w:rsid w:val="009E7D1B"/>
  </w:style>
  <w:style w:type="paragraph" w:styleId="Prrafodelista">
    <w:name w:val="List Paragraph"/>
    <w:basedOn w:val="Normal"/>
    <w:uiPriority w:val="34"/>
    <w:qFormat/>
    <w:rsid w:val="009E7D1B"/>
    <w:pPr>
      <w:ind w:left="720"/>
      <w:contextualSpacing/>
    </w:pPr>
  </w:style>
  <w:style w:type="character" w:customStyle="1" w:styleId="articlecitationvolume">
    <w:name w:val="articlecitation_volume"/>
    <w:rsid w:val="009E7D1B"/>
  </w:style>
  <w:style w:type="character" w:customStyle="1" w:styleId="name">
    <w:name w:val="name"/>
    <w:rsid w:val="009E7D1B"/>
  </w:style>
  <w:style w:type="character" w:styleId="CitaHTML">
    <w:name w:val="HTML Cite"/>
    <w:uiPriority w:val="99"/>
    <w:semiHidden/>
    <w:unhideWhenUsed/>
    <w:rsid w:val="009E7D1B"/>
    <w:rPr>
      <w:i/>
      <w:iCs/>
    </w:rPr>
  </w:style>
  <w:style w:type="paragraph" w:customStyle="1" w:styleId="Pa0">
    <w:name w:val="Pa0"/>
    <w:basedOn w:val="Normal"/>
    <w:next w:val="Normal"/>
    <w:uiPriority w:val="99"/>
    <w:rsid w:val="009E7D1B"/>
    <w:pPr>
      <w:autoSpaceDE w:val="0"/>
      <w:autoSpaceDN w:val="0"/>
      <w:adjustRightInd w:val="0"/>
      <w:spacing w:after="0" w:line="201" w:lineRule="atLeast"/>
    </w:pPr>
    <w:rPr>
      <w:rFonts w:ascii="Franklin Gothic Book" w:hAnsi="Franklin Gothic Book"/>
      <w:sz w:val="24"/>
      <w:szCs w:val="24"/>
    </w:rPr>
  </w:style>
  <w:style w:type="character" w:customStyle="1" w:styleId="resumen">
    <w:name w:val="resumen"/>
    <w:rsid w:val="009E7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ontiersin.org/articles/10.3389/fimmu.2018.02279/full" TargetMode="External"/><Relationship Id="rId13" Type="http://schemas.openxmlformats.org/officeDocument/2006/relationships/hyperlink" Target="http://immunology.sciencemag.org/content/4/32/eaau907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carmenmari@infomed.sld.cu" TargetMode="External"/><Relationship Id="rId12" Type="http://schemas.openxmlformats.org/officeDocument/2006/relationships/hyperlink" Target="https://www.fasebj.org/toc/fasebj/32/1_suppl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cbi.nlm.nih.gov/pmc/articles/PMC630767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arger.com/Article/FullText/494262" TargetMode="External"/><Relationship Id="rId5" Type="http://schemas.openxmlformats.org/officeDocument/2006/relationships/settings" Target="settings.xml"/><Relationship Id="rId15" Type="http://schemas.openxmlformats.org/officeDocument/2006/relationships/hyperlink" Target="https://www.neurologia.com/articulo/2018479" TargetMode="External"/><Relationship Id="rId10" Type="http://schemas.openxmlformats.org/officeDocument/2006/relationships/hyperlink" Target="http://scielo.sld.cu/scielo.php?script=sci_arttext&amp;pid=S1817-59962018000300012&amp;lng=en" TargetMode="External"/><Relationship Id="rId4" Type="http://schemas.microsoft.com/office/2007/relationships/stylesWithEffects" Target="stylesWithEffects.xml"/><Relationship Id="rId9" Type="http://schemas.openxmlformats.org/officeDocument/2006/relationships/hyperlink" Target="https://www.ncbi.nlm.nih.gov/pmc/articles/PMC4402170/" TargetMode="External"/><Relationship Id="rId14" Type="http://schemas.openxmlformats.org/officeDocument/2006/relationships/hyperlink" Target="https://www.ncbi.nlm.nih.gov/pmc/articles/PMC610416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05D2C089-1399-4F9E-9373-A0A9D7FA7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1823</Words>
  <Characters>10028</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Microsoft</cp:lastModifiedBy>
  <cp:revision>12</cp:revision>
  <dcterms:created xsi:type="dcterms:W3CDTF">2019-04-27T21:45:00Z</dcterms:created>
  <dcterms:modified xsi:type="dcterms:W3CDTF">2019-04-29T04:16:00Z</dcterms:modified>
</cp:coreProperties>
</file>